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4692"/>
        <w:gridCol w:w="4947"/>
      </w:tblGrid>
      <w:tr w:rsidR="002654AB" w:rsidRPr="00844DF6" w:rsidTr="00383E9B">
        <w:tc>
          <w:tcPr>
            <w:tcW w:w="4692" w:type="dxa"/>
          </w:tcPr>
          <w:p w:rsidR="002654AB" w:rsidRPr="00844DF6" w:rsidRDefault="00B87634" w:rsidP="0072178B">
            <w:pPr>
              <w:pStyle w:val="Title"/>
              <w:jc w:val="left"/>
              <w:rPr>
                <w:color w:val="FF0000"/>
              </w:rPr>
            </w:pPr>
            <w:r w:rsidRPr="00844DF6">
              <w:rPr>
                <w:noProof/>
                <w:color w:val="1F497D"/>
                <w:sz w:val="20"/>
                <w:szCs w:val="20"/>
              </w:rPr>
              <w:drawing>
                <wp:inline distT="0" distB="0" distL="0" distR="0" wp14:anchorId="5090F560" wp14:editId="64224F52">
                  <wp:extent cx="2686068" cy="723568"/>
                  <wp:effectExtent l="0" t="0" r="0" b="635"/>
                  <wp:docPr id="3" name="Picture 3" descr="cid:image003.png@01D678B9.8E06E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78B9.8E06ED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19229" cy="732501"/>
                          </a:xfrm>
                          <a:prstGeom prst="rect">
                            <a:avLst/>
                          </a:prstGeom>
                          <a:noFill/>
                          <a:ln>
                            <a:noFill/>
                          </a:ln>
                        </pic:spPr>
                      </pic:pic>
                    </a:graphicData>
                  </a:graphic>
                </wp:inline>
              </w:drawing>
            </w:r>
          </w:p>
        </w:tc>
        <w:tc>
          <w:tcPr>
            <w:tcW w:w="4947" w:type="dxa"/>
          </w:tcPr>
          <w:p w:rsidR="00E36AF8" w:rsidRPr="00844DF6" w:rsidRDefault="00E36AF8" w:rsidP="00C61C7B">
            <w:pPr>
              <w:jc w:val="both"/>
              <w:rPr>
                <w:sz w:val="22"/>
                <w:szCs w:val="22"/>
              </w:rPr>
            </w:pPr>
            <w:r w:rsidRPr="00844DF6">
              <w:rPr>
                <w:sz w:val="22"/>
                <w:szCs w:val="22"/>
              </w:rPr>
              <w:t>Author</w:t>
            </w:r>
            <w:r w:rsidR="002654AB" w:rsidRPr="00844DF6">
              <w:rPr>
                <w:sz w:val="22"/>
                <w:szCs w:val="22"/>
              </w:rPr>
              <w:t xml:space="preserve">: </w:t>
            </w:r>
            <w:r w:rsidR="00383E9B" w:rsidRPr="00844DF6">
              <w:rPr>
                <w:sz w:val="22"/>
                <w:szCs w:val="22"/>
              </w:rPr>
              <w:t>RAL SHE Group</w:t>
            </w:r>
          </w:p>
          <w:p w:rsidR="00341CBF" w:rsidRPr="00844DF6" w:rsidRDefault="00035826" w:rsidP="00341CBF">
            <w:pPr>
              <w:jc w:val="both"/>
              <w:rPr>
                <w:sz w:val="22"/>
                <w:szCs w:val="22"/>
              </w:rPr>
            </w:pPr>
            <w:r w:rsidRPr="00844DF6">
              <w:rPr>
                <w:sz w:val="22"/>
                <w:szCs w:val="22"/>
              </w:rPr>
              <w:t>Date:</w:t>
            </w:r>
            <w:r w:rsidR="00631CA6" w:rsidRPr="00844DF6">
              <w:rPr>
                <w:sz w:val="22"/>
                <w:szCs w:val="22"/>
              </w:rPr>
              <w:t xml:space="preserve"> </w:t>
            </w:r>
            <w:r w:rsidR="00F911A8" w:rsidRPr="00844DF6">
              <w:rPr>
                <w:sz w:val="22"/>
                <w:szCs w:val="22"/>
              </w:rPr>
              <w:t>November</w:t>
            </w:r>
            <w:r w:rsidR="00383E9B" w:rsidRPr="00844DF6">
              <w:rPr>
                <w:sz w:val="22"/>
                <w:szCs w:val="22"/>
              </w:rPr>
              <w:t xml:space="preserve"> 20</w:t>
            </w:r>
            <w:r w:rsidR="00691A66" w:rsidRPr="00844DF6">
              <w:rPr>
                <w:sz w:val="22"/>
                <w:szCs w:val="22"/>
              </w:rPr>
              <w:t>20</w:t>
            </w:r>
          </w:p>
          <w:p w:rsidR="002654AB" w:rsidRPr="00844DF6" w:rsidRDefault="00DC49C4" w:rsidP="0072178B">
            <w:pPr>
              <w:rPr>
                <w:b/>
                <w:sz w:val="16"/>
                <w:szCs w:val="16"/>
              </w:rPr>
            </w:pPr>
            <w:r w:rsidRPr="00844DF6">
              <w:rPr>
                <w:sz w:val="22"/>
                <w:szCs w:val="22"/>
              </w:rPr>
              <w:t>Document Reference:</w:t>
            </w:r>
            <w:r w:rsidRPr="00844DF6">
              <w:rPr>
                <w:b/>
                <w:sz w:val="22"/>
                <w:szCs w:val="22"/>
              </w:rPr>
              <w:t xml:space="preserve"> </w:t>
            </w:r>
            <w:r w:rsidR="0072178B" w:rsidRPr="00844DF6">
              <w:rPr>
                <w:i/>
                <w:sz w:val="22"/>
                <w:szCs w:val="22"/>
              </w:rPr>
              <w:t xml:space="preserve">PPD </w:t>
            </w:r>
            <w:r w:rsidR="00383E9B" w:rsidRPr="00844DF6">
              <w:rPr>
                <w:i/>
                <w:sz w:val="22"/>
                <w:szCs w:val="22"/>
              </w:rPr>
              <w:t>SHE report</w:t>
            </w:r>
            <w:r w:rsidR="0072178B" w:rsidRPr="00844DF6">
              <w:rPr>
                <w:i/>
                <w:sz w:val="22"/>
                <w:szCs w:val="22"/>
              </w:rPr>
              <w:t xml:space="preserve"> </w:t>
            </w:r>
            <w:r w:rsidR="00F911A8" w:rsidRPr="00844DF6">
              <w:rPr>
                <w:i/>
                <w:sz w:val="22"/>
                <w:szCs w:val="22"/>
              </w:rPr>
              <w:t>Q2</w:t>
            </w:r>
            <w:r w:rsidR="00383E9B" w:rsidRPr="00844DF6">
              <w:rPr>
                <w:i/>
                <w:sz w:val="22"/>
                <w:szCs w:val="22"/>
              </w:rPr>
              <w:t xml:space="preserve"> 20</w:t>
            </w:r>
            <w:r w:rsidR="00691A66" w:rsidRPr="00844DF6">
              <w:rPr>
                <w:i/>
                <w:sz w:val="22"/>
                <w:szCs w:val="22"/>
              </w:rPr>
              <w:t>20</w:t>
            </w:r>
            <w:r w:rsidR="00383E9B" w:rsidRPr="00844DF6">
              <w:rPr>
                <w:i/>
                <w:sz w:val="22"/>
                <w:szCs w:val="22"/>
              </w:rPr>
              <w:t>-2</w:t>
            </w:r>
            <w:r w:rsidR="00691A66" w:rsidRPr="00844DF6">
              <w:rPr>
                <w:i/>
                <w:sz w:val="22"/>
                <w:szCs w:val="22"/>
              </w:rPr>
              <w:t>1</w:t>
            </w:r>
          </w:p>
        </w:tc>
      </w:tr>
    </w:tbl>
    <w:p w:rsidR="002654AB" w:rsidRPr="00844DF6" w:rsidRDefault="002654AB" w:rsidP="00C37503">
      <w:pPr>
        <w:pStyle w:val="Title"/>
        <w:jc w:val="both"/>
        <w:rPr>
          <w:color w:val="FF0000"/>
        </w:rPr>
      </w:pPr>
    </w:p>
    <w:p w:rsidR="002654AB" w:rsidRPr="00844DF6" w:rsidRDefault="002654AB" w:rsidP="00C37503">
      <w:pPr>
        <w:pStyle w:val="Title"/>
        <w:jc w:val="both"/>
        <w:rPr>
          <w:color w:val="FF0000"/>
        </w:rPr>
      </w:pPr>
    </w:p>
    <w:p w:rsidR="002654AB" w:rsidRPr="00844DF6" w:rsidRDefault="002654AB" w:rsidP="00C37503">
      <w:pPr>
        <w:jc w:val="both"/>
        <w:rPr>
          <w:b/>
          <w:color w:val="FF0000"/>
        </w:rPr>
      </w:pPr>
    </w:p>
    <w:p w:rsidR="002654AB" w:rsidRPr="00844DF6" w:rsidRDefault="002654AB" w:rsidP="00C37503">
      <w:pPr>
        <w:jc w:val="both"/>
        <w:rPr>
          <w:b/>
        </w:rPr>
      </w:pPr>
    </w:p>
    <w:p w:rsidR="002654AB" w:rsidRPr="00844DF6" w:rsidRDefault="0072178B" w:rsidP="00C37503">
      <w:pPr>
        <w:jc w:val="both"/>
        <w:rPr>
          <w:b/>
          <w:sz w:val="28"/>
          <w:szCs w:val="28"/>
        </w:rPr>
      </w:pPr>
      <w:r w:rsidRPr="00844DF6">
        <w:rPr>
          <w:b/>
          <w:sz w:val="28"/>
          <w:szCs w:val="28"/>
        </w:rPr>
        <w:t>PPD</w:t>
      </w:r>
      <w:r w:rsidR="001829E4" w:rsidRPr="00844DF6">
        <w:rPr>
          <w:b/>
          <w:sz w:val="28"/>
          <w:szCs w:val="28"/>
        </w:rPr>
        <w:t xml:space="preserve"> </w:t>
      </w:r>
      <w:r w:rsidR="00383E9B" w:rsidRPr="00844DF6">
        <w:rPr>
          <w:b/>
          <w:sz w:val="28"/>
          <w:szCs w:val="28"/>
        </w:rPr>
        <w:t>Health and Safety Management Committee</w:t>
      </w:r>
    </w:p>
    <w:p w:rsidR="007244BC" w:rsidRPr="00844DF6" w:rsidRDefault="007244BC" w:rsidP="00C37503">
      <w:pPr>
        <w:jc w:val="both"/>
        <w:rPr>
          <w:b/>
        </w:rPr>
      </w:pPr>
    </w:p>
    <w:p w:rsidR="009371D1" w:rsidRPr="00844DF6" w:rsidRDefault="00383E9B" w:rsidP="006927FD">
      <w:pPr>
        <w:jc w:val="both"/>
        <w:rPr>
          <w:b/>
        </w:rPr>
      </w:pPr>
      <w:r w:rsidRPr="00844DF6">
        <w:rPr>
          <w:b/>
        </w:rPr>
        <w:t xml:space="preserve">Safety, Health and Environment Report for </w:t>
      </w:r>
      <w:r w:rsidR="00F911A8" w:rsidRPr="00844DF6">
        <w:rPr>
          <w:b/>
        </w:rPr>
        <w:t>Q2</w:t>
      </w:r>
      <w:r w:rsidRPr="00844DF6">
        <w:rPr>
          <w:b/>
        </w:rPr>
        <w:t xml:space="preserve"> 20</w:t>
      </w:r>
      <w:r w:rsidR="00691A66" w:rsidRPr="00844DF6">
        <w:rPr>
          <w:b/>
        </w:rPr>
        <w:t>20</w:t>
      </w:r>
      <w:r w:rsidRPr="00844DF6">
        <w:rPr>
          <w:b/>
        </w:rPr>
        <w:t xml:space="preserve"> / 202</w:t>
      </w:r>
      <w:r w:rsidR="00F911A8" w:rsidRPr="00844DF6">
        <w:rPr>
          <w:b/>
        </w:rPr>
        <w:t>1 (July – September</w:t>
      </w:r>
      <w:r w:rsidR="00691A66" w:rsidRPr="00844DF6">
        <w:rPr>
          <w:b/>
        </w:rPr>
        <w:t xml:space="preserve"> 2020)</w:t>
      </w:r>
    </w:p>
    <w:p w:rsidR="00695AAC" w:rsidRPr="00844DF6" w:rsidRDefault="00695AAC" w:rsidP="006927FD">
      <w:pPr>
        <w:jc w:val="both"/>
        <w:rPr>
          <w:b/>
        </w:rPr>
      </w:pPr>
    </w:p>
    <w:p w:rsidR="00695AAC" w:rsidRPr="00844DF6" w:rsidRDefault="00695AAC" w:rsidP="006927FD">
      <w:pPr>
        <w:jc w:val="both"/>
        <w:rPr>
          <w:b/>
        </w:rPr>
      </w:pPr>
    </w:p>
    <w:p w:rsidR="006927FD" w:rsidRPr="00844DF6" w:rsidRDefault="00702F52" w:rsidP="004C5F5C">
      <w:pPr>
        <w:jc w:val="both"/>
      </w:pPr>
      <w:r w:rsidRPr="00844DF6">
        <w:rPr>
          <w:noProof/>
          <w:color w:val="FF0000"/>
        </w:rPr>
        <mc:AlternateContent>
          <mc:Choice Requires="wps">
            <w:drawing>
              <wp:inline distT="0" distB="0" distL="0" distR="0" wp14:anchorId="543190B6" wp14:editId="0C89671E">
                <wp:extent cx="5832389" cy="5295900"/>
                <wp:effectExtent l="0" t="0" r="1651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389" cy="529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4F1AE0" w:rsidRPr="00844DF6" w:rsidRDefault="004F1AE0" w:rsidP="00695AAC">
                            <w:pPr>
                              <w:ind w:right="4110"/>
                              <w:rPr>
                                <w:b/>
                                <w:sz w:val="22"/>
                                <w:szCs w:val="22"/>
                              </w:rPr>
                            </w:pPr>
                            <w:r w:rsidRPr="00844DF6">
                              <w:rPr>
                                <w:b/>
                                <w:sz w:val="22"/>
                                <w:szCs w:val="22"/>
                              </w:rPr>
                              <w:t>Action for the Committee:</w:t>
                            </w:r>
                          </w:p>
                          <w:p w:rsidR="004F1AE0" w:rsidRPr="00844DF6" w:rsidRDefault="004F1AE0" w:rsidP="00702F52">
                            <w:pPr>
                              <w:rPr>
                                <w:sz w:val="22"/>
                                <w:szCs w:val="22"/>
                              </w:rPr>
                            </w:pPr>
                          </w:p>
                          <w:p w:rsidR="00461B54" w:rsidRPr="00844DF6" w:rsidRDefault="00461B54" w:rsidP="00844DF6">
                            <w:pPr>
                              <w:numPr>
                                <w:ilvl w:val="0"/>
                                <w:numId w:val="3"/>
                              </w:numPr>
                              <w:rPr>
                                <w:sz w:val="22"/>
                                <w:szCs w:val="22"/>
                                <w:lang w:val="en-US" w:eastAsia="en-US" w:bidi="en-US"/>
                              </w:rPr>
                            </w:pPr>
                            <w:r w:rsidRPr="00844DF6">
                              <w:rPr>
                                <w:sz w:val="22"/>
                                <w:szCs w:val="22"/>
                                <w:lang w:eastAsia="en-US" w:bidi="en-US"/>
                              </w:rPr>
                              <w:t xml:space="preserve">PPD Building Fire Managers are asked to keep fire risk assessments under review, particularly in relation to any COVID-19 building changes, for example doors being held open, one way systems impacting on potential escape routes, or storage of flammable hand sanitisers, etc.  </w:t>
                            </w:r>
                          </w:p>
                          <w:p w:rsidR="00461B54" w:rsidRPr="00844DF6" w:rsidRDefault="00461B54" w:rsidP="00461B54">
                            <w:pPr>
                              <w:rPr>
                                <w:sz w:val="22"/>
                                <w:szCs w:val="22"/>
                                <w:lang w:val="en-US" w:eastAsia="en-US" w:bidi="en-US"/>
                              </w:rPr>
                            </w:pPr>
                          </w:p>
                          <w:p w:rsidR="00461B54" w:rsidRPr="00844DF6" w:rsidRDefault="00461B54" w:rsidP="00844DF6">
                            <w:pPr>
                              <w:numPr>
                                <w:ilvl w:val="0"/>
                                <w:numId w:val="3"/>
                              </w:numPr>
                              <w:rPr>
                                <w:sz w:val="22"/>
                                <w:szCs w:val="22"/>
                                <w:lang w:val="en-US" w:eastAsia="en-US" w:bidi="en-US"/>
                              </w:rPr>
                            </w:pPr>
                            <w:r w:rsidRPr="00844DF6">
                              <w:rPr>
                                <w:sz w:val="22"/>
                                <w:szCs w:val="22"/>
                                <w:lang w:val="en-US" w:eastAsia="en-US" w:bidi="en-US"/>
                              </w:rPr>
                              <w:t xml:space="preserve">PPD should ensure that any relevant learning from the moderate incidents reported in the quarter is identified and applied, as appropriate. </w:t>
                            </w:r>
                          </w:p>
                          <w:p w:rsidR="00461B54" w:rsidRPr="00844DF6" w:rsidRDefault="00461B54" w:rsidP="00461B54">
                            <w:pPr>
                              <w:rPr>
                                <w:sz w:val="22"/>
                                <w:szCs w:val="22"/>
                                <w:lang w:eastAsia="en-US" w:bidi="en-US"/>
                              </w:rPr>
                            </w:pPr>
                          </w:p>
                          <w:p w:rsidR="00461B54" w:rsidRPr="00844DF6" w:rsidRDefault="00461B54" w:rsidP="00844DF6">
                            <w:pPr>
                              <w:numPr>
                                <w:ilvl w:val="0"/>
                                <w:numId w:val="3"/>
                              </w:numPr>
                              <w:rPr>
                                <w:sz w:val="22"/>
                                <w:szCs w:val="22"/>
                                <w:lang w:val="en-US" w:eastAsia="en-US" w:bidi="en-US"/>
                              </w:rPr>
                            </w:pPr>
                            <w:r w:rsidRPr="00844DF6">
                              <w:rPr>
                                <w:sz w:val="22"/>
                                <w:szCs w:val="22"/>
                                <w:lang w:val="en-US" w:eastAsia="en-US" w:bidi="en-US"/>
                              </w:rPr>
                              <w:t xml:space="preserve">Line managers must remind relevant staff to complete the available online mandatory training, where required, and notify SHE Group of any inaccuracies (i.e. new starters or leavers) on the training spreadsheet by emailing </w:t>
                            </w:r>
                            <w:hyperlink r:id="rId10" w:history="1">
                              <w:r w:rsidRPr="00844DF6">
                                <w:rPr>
                                  <w:rStyle w:val="Hyperlink"/>
                                  <w:rFonts w:cs="Arial"/>
                                  <w:sz w:val="22"/>
                                  <w:szCs w:val="22"/>
                                  <w:lang w:val="en-US" w:eastAsia="en-US" w:bidi="en-US"/>
                                </w:rPr>
                                <w:t>RALSafety@stfc.ac.uk</w:t>
                              </w:r>
                            </w:hyperlink>
                            <w:r w:rsidRPr="00844DF6">
                              <w:rPr>
                                <w:sz w:val="22"/>
                                <w:szCs w:val="22"/>
                                <w:lang w:val="en-US" w:eastAsia="en-US" w:bidi="en-US"/>
                              </w:rPr>
                              <w:t xml:space="preserve">. </w:t>
                            </w:r>
                          </w:p>
                          <w:p w:rsidR="00461B54" w:rsidRPr="00844DF6" w:rsidRDefault="00461B54" w:rsidP="00461B54">
                            <w:pPr>
                              <w:rPr>
                                <w:sz w:val="22"/>
                                <w:szCs w:val="22"/>
                                <w:lang w:val="en-US" w:eastAsia="en-US" w:bidi="en-US"/>
                              </w:rPr>
                            </w:pPr>
                          </w:p>
                          <w:p w:rsidR="00461B54" w:rsidRPr="00844DF6" w:rsidRDefault="00461B54" w:rsidP="00844DF6">
                            <w:pPr>
                              <w:numPr>
                                <w:ilvl w:val="0"/>
                                <w:numId w:val="3"/>
                              </w:numPr>
                              <w:rPr>
                                <w:sz w:val="22"/>
                                <w:szCs w:val="22"/>
                                <w:lang w:val="en-US" w:eastAsia="en-US" w:bidi="en-US"/>
                              </w:rPr>
                            </w:pPr>
                            <w:r w:rsidRPr="00844DF6">
                              <w:rPr>
                                <w:sz w:val="22"/>
                                <w:szCs w:val="22"/>
                                <w:lang w:val="en-US" w:eastAsia="en-US" w:bidi="en-US"/>
                              </w:rPr>
                              <w:t>Although a good start has been made by PPD in the completion of the online Electrical Essentials course, managers are asked to encourage those members of staff who have yet to complete the course to do so.</w:t>
                            </w:r>
                          </w:p>
                          <w:p w:rsidR="004F1AE0" w:rsidRPr="00844DF6" w:rsidRDefault="004F1AE0" w:rsidP="00F934CA"/>
                          <w:p w:rsidR="008C1F62" w:rsidRPr="00844DF6" w:rsidRDefault="004F1AE0" w:rsidP="00844DF6">
                            <w:pPr>
                              <w:pStyle w:val="ListParagraph"/>
                              <w:numPr>
                                <w:ilvl w:val="0"/>
                                <w:numId w:val="3"/>
                              </w:numPr>
                              <w:spacing w:after="0" w:line="240" w:lineRule="auto"/>
                              <w:jc w:val="both"/>
                              <w:rPr>
                                <w:rFonts w:ascii="Arial" w:hAnsi="Arial" w:cs="Arial"/>
                              </w:rPr>
                            </w:pPr>
                            <w:r w:rsidRPr="00844DF6">
                              <w:rPr>
                                <w:rFonts w:ascii="Arial" w:hAnsi="Arial" w:cs="Arial"/>
                              </w:rPr>
                              <w:t>Overdue risk assessment reviews should also be undertaken promptly where the activity is ongoing. Where activities have been suspended, the risk assessment should be archived, and in the event of the work resuming the assessment must be reviewed in advance to ensure that control measures remain effective.</w:t>
                            </w:r>
                          </w:p>
                          <w:p w:rsidR="00461B54" w:rsidRPr="00844DF6" w:rsidRDefault="00461B54" w:rsidP="00317E6A">
                            <w:pPr>
                              <w:rPr>
                                <w:color w:val="FF0000"/>
                              </w:rPr>
                            </w:pPr>
                          </w:p>
                          <w:p w:rsidR="00461B54" w:rsidRPr="00844DF6" w:rsidRDefault="00461B54" w:rsidP="00844DF6">
                            <w:pPr>
                              <w:pStyle w:val="ListParagraph"/>
                              <w:numPr>
                                <w:ilvl w:val="0"/>
                                <w:numId w:val="3"/>
                              </w:numPr>
                              <w:spacing w:after="0" w:line="240" w:lineRule="auto"/>
                              <w:jc w:val="both"/>
                              <w:rPr>
                                <w:rFonts w:ascii="Arial" w:hAnsi="Arial" w:cs="Arial"/>
                              </w:rPr>
                            </w:pPr>
                            <w:r w:rsidRPr="00844DF6">
                              <w:rPr>
                                <w:rFonts w:ascii="Arial" w:hAnsi="Arial" w:cs="Arial"/>
                              </w:rPr>
                              <w:t>PPD should begin drafting its SHE Risk Register, and recording its top six SHE Risks, if this has not already started.</w:t>
                            </w:r>
                          </w:p>
                          <w:p w:rsidR="00461B54" w:rsidRPr="00844DF6" w:rsidRDefault="00461B54" w:rsidP="00461B54">
                            <w:pPr>
                              <w:rPr>
                                <w:color w:val="FF0000"/>
                              </w:rPr>
                            </w:pPr>
                          </w:p>
                          <w:p w:rsidR="00461B54" w:rsidRPr="00844DF6" w:rsidRDefault="00461B54" w:rsidP="00844DF6">
                            <w:pPr>
                              <w:pStyle w:val="ListParagraph"/>
                              <w:numPr>
                                <w:ilvl w:val="0"/>
                                <w:numId w:val="3"/>
                              </w:numPr>
                              <w:rPr>
                                <w:rFonts w:ascii="Arial" w:hAnsi="Arial" w:cs="Arial"/>
                              </w:rPr>
                            </w:pPr>
                            <w:r w:rsidRPr="00844DF6">
                              <w:rPr>
                                <w:rFonts w:ascii="Arial" w:hAnsi="Arial" w:cs="Arial"/>
                              </w:rPr>
                              <w:t>PPD should promote the new 2020/21 Health and Safety objectives (completion of ‘</w:t>
                            </w:r>
                            <w:r w:rsidRPr="00844DF6">
                              <w:rPr>
                                <w:rStyle w:val="Hyperlink"/>
                                <w:rFonts w:ascii="Arial" w:hAnsi="Arial" w:cs="Arial"/>
                                <w:color w:val="auto"/>
                              </w:rPr>
                              <w:t>Electrical Essentials’ being one).</w:t>
                            </w:r>
                          </w:p>
                        </w:txbxContent>
                      </wps:txbx>
                      <wps:bodyPr rot="0" vert="horz" wrap="square" lIns="91440" tIns="45720" rIns="91440" bIns="45720" anchor="t" anchorCtr="0" upright="1">
                        <a:noAutofit/>
                      </wps:bodyPr>
                    </wps:wsp>
                  </a:graphicData>
                </a:graphic>
              </wp:inline>
            </w:drawing>
          </mc:Choice>
          <mc:Fallback>
            <w:pict>
              <v:shapetype w14:anchorId="543190B6" id="_x0000_t202" coordsize="21600,21600" o:spt="202" path="m,l,21600r21600,l21600,xe">
                <v:stroke joinstyle="miter"/>
                <v:path gradientshapeok="t" o:connecttype="rect"/>
              </v:shapetype>
              <v:shape id="Text Box 2" o:spid="_x0000_s1026" type="#_x0000_t202" style="width:459.25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" filled="f" fillcolor="#f9c" strokeweight="1pt">
                <v:textbox>
                  <w:txbxContent>
                    <w:p w:rsidR="004F1AE0" w:rsidRPr="00844DF6" w:rsidRDefault="004F1AE0" w:rsidP="00695AAC">
                      <w:pPr>
                        <w:ind w:right="4110"/>
                        <w:rPr>
                          <w:b/>
                          <w:sz w:val="22"/>
                          <w:szCs w:val="22"/>
                        </w:rPr>
                      </w:pPr>
                      <w:r w:rsidRPr="00844DF6">
                        <w:rPr>
                          <w:b/>
                          <w:sz w:val="22"/>
                          <w:szCs w:val="22"/>
                        </w:rPr>
                        <w:t>Action for the Committee:</w:t>
                      </w:r>
                    </w:p>
                    <w:p w:rsidR="004F1AE0" w:rsidRPr="00844DF6" w:rsidRDefault="004F1AE0" w:rsidP="00702F52">
                      <w:pPr>
                        <w:rPr>
                          <w:sz w:val="22"/>
                          <w:szCs w:val="22"/>
                        </w:rPr>
                      </w:pPr>
                    </w:p>
                    <w:p w:rsidR="00461B54" w:rsidRPr="00844DF6" w:rsidRDefault="00461B54" w:rsidP="00844DF6">
                      <w:pPr>
                        <w:numPr>
                          <w:ilvl w:val="0"/>
                          <w:numId w:val="3"/>
                        </w:numPr>
                        <w:rPr>
                          <w:sz w:val="22"/>
                          <w:szCs w:val="22"/>
                          <w:lang w:val="en-US" w:eastAsia="en-US" w:bidi="en-US"/>
                        </w:rPr>
                      </w:pPr>
                      <w:r w:rsidRPr="00844DF6">
                        <w:rPr>
                          <w:sz w:val="22"/>
                          <w:szCs w:val="22"/>
                          <w:lang w:eastAsia="en-US" w:bidi="en-US"/>
                        </w:rPr>
                        <w:t xml:space="preserve">PPD Building Fire Managers are asked to keep fire risk assessments under review, particularly in relation to any COVID-19 building changes, for example doors being held open, one way systems impacting on potential escape routes, or storage of flammable hand sanitisers, etc.  </w:t>
                      </w:r>
                    </w:p>
                    <w:p w:rsidR="00461B54" w:rsidRPr="00844DF6" w:rsidRDefault="00461B54" w:rsidP="00461B54">
                      <w:pPr>
                        <w:rPr>
                          <w:sz w:val="22"/>
                          <w:szCs w:val="22"/>
                          <w:lang w:val="en-US" w:eastAsia="en-US" w:bidi="en-US"/>
                        </w:rPr>
                      </w:pPr>
                    </w:p>
                    <w:p w:rsidR="00461B54" w:rsidRPr="00844DF6" w:rsidRDefault="00461B54" w:rsidP="00844DF6">
                      <w:pPr>
                        <w:numPr>
                          <w:ilvl w:val="0"/>
                          <w:numId w:val="3"/>
                        </w:numPr>
                        <w:rPr>
                          <w:sz w:val="22"/>
                          <w:szCs w:val="22"/>
                          <w:lang w:val="en-US" w:eastAsia="en-US" w:bidi="en-US"/>
                        </w:rPr>
                      </w:pPr>
                      <w:r w:rsidRPr="00844DF6">
                        <w:rPr>
                          <w:sz w:val="22"/>
                          <w:szCs w:val="22"/>
                          <w:lang w:val="en-US" w:eastAsia="en-US" w:bidi="en-US"/>
                        </w:rPr>
                        <w:t xml:space="preserve">PPD should ensure that any relevant learning from the moderate incidents reported in the quarter is identified and applied, as appropriate. </w:t>
                      </w:r>
                    </w:p>
                    <w:p w:rsidR="00461B54" w:rsidRPr="00844DF6" w:rsidRDefault="00461B54" w:rsidP="00461B54">
                      <w:pPr>
                        <w:rPr>
                          <w:sz w:val="22"/>
                          <w:szCs w:val="22"/>
                          <w:lang w:eastAsia="en-US" w:bidi="en-US"/>
                        </w:rPr>
                      </w:pPr>
                    </w:p>
                    <w:p w:rsidR="00461B54" w:rsidRPr="00844DF6" w:rsidRDefault="00461B54" w:rsidP="00844DF6">
                      <w:pPr>
                        <w:numPr>
                          <w:ilvl w:val="0"/>
                          <w:numId w:val="3"/>
                        </w:numPr>
                        <w:rPr>
                          <w:sz w:val="22"/>
                          <w:szCs w:val="22"/>
                          <w:lang w:val="en-US" w:eastAsia="en-US" w:bidi="en-US"/>
                        </w:rPr>
                      </w:pPr>
                      <w:r w:rsidRPr="00844DF6">
                        <w:rPr>
                          <w:sz w:val="22"/>
                          <w:szCs w:val="22"/>
                          <w:lang w:val="en-US" w:eastAsia="en-US" w:bidi="en-US"/>
                        </w:rPr>
                        <w:t xml:space="preserve">Line managers must remind relevant staff to complete the available online mandatory training, where required, and notify SHE Group of any inaccuracies (i.e. new starters or leavers) on the training spreadsheet by emailing </w:t>
                      </w:r>
                      <w:hyperlink r:id="rId11" w:history="1">
                        <w:r w:rsidRPr="00844DF6">
                          <w:rPr>
                            <w:rStyle w:val="Hyperlink"/>
                            <w:rFonts w:cs="Arial"/>
                            <w:sz w:val="22"/>
                            <w:szCs w:val="22"/>
                            <w:lang w:val="en-US" w:eastAsia="en-US" w:bidi="en-US"/>
                          </w:rPr>
                          <w:t>RALSafety@stfc.ac.uk</w:t>
                        </w:r>
                      </w:hyperlink>
                      <w:r w:rsidRPr="00844DF6">
                        <w:rPr>
                          <w:sz w:val="22"/>
                          <w:szCs w:val="22"/>
                          <w:lang w:val="en-US" w:eastAsia="en-US" w:bidi="en-US"/>
                        </w:rPr>
                        <w:t xml:space="preserve">. </w:t>
                      </w:r>
                    </w:p>
                    <w:p w:rsidR="00461B54" w:rsidRPr="00844DF6" w:rsidRDefault="00461B54" w:rsidP="00461B54">
                      <w:pPr>
                        <w:rPr>
                          <w:sz w:val="22"/>
                          <w:szCs w:val="22"/>
                          <w:lang w:val="en-US" w:eastAsia="en-US" w:bidi="en-US"/>
                        </w:rPr>
                      </w:pPr>
                    </w:p>
                    <w:p w:rsidR="00461B54" w:rsidRPr="00844DF6" w:rsidRDefault="00461B54" w:rsidP="00844DF6">
                      <w:pPr>
                        <w:numPr>
                          <w:ilvl w:val="0"/>
                          <w:numId w:val="3"/>
                        </w:numPr>
                        <w:rPr>
                          <w:sz w:val="22"/>
                          <w:szCs w:val="22"/>
                          <w:lang w:val="en-US" w:eastAsia="en-US" w:bidi="en-US"/>
                        </w:rPr>
                      </w:pPr>
                      <w:r w:rsidRPr="00844DF6">
                        <w:rPr>
                          <w:sz w:val="22"/>
                          <w:szCs w:val="22"/>
                          <w:lang w:val="en-US" w:eastAsia="en-US" w:bidi="en-US"/>
                        </w:rPr>
                        <w:t>Although a good start has been made by PPD in the completion of the online Electrical Essentials course, managers are asked to encourage those members of staff who have yet to complete the course to do so.</w:t>
                      </w:r>
                    </w:p>
                    <w:p w:rsidR="004F1AE0" w:rsidRPr="00844DF6" w:rsidRDefault="004F1AE0" w:rsidP="00F934CA"/>
                    <w:p w:rsidR="008C1F62" w:rsidRPr="00844DF6" w:rsidRDefault="004F1AE0" w:rsidP="00844DF6">
                      <w:pPr>
                        <w:pStyle w:val="ListParagraph"/>
                        <w:numPr>
                          <w:ilvl w:val="0"/>
                          <w:numId w:val="3"/>
                        </w:numPr>
                        <w:spacing w:after="0" w:line="240" w:lineRule="auto"/>
                        <w:jc w:val="both"/>
                        <w:rPr>
                          <w:rFonts w:ascii="Arial" w:hAnsi="Arial" w:cs="Arial"/>
                        </w:rPr>
                      </w:pPr>
                      <w:r w:rsidRPr="00844DF6">
                        <w:rPr>
                          <w:rFonts w:ascii="Arial" w:hAnsi="Arial" w:cs="Arial"/>
                        </w:rPr>
                        <w:t>Overdue risk assessment reviews should also be undertaken promptly where the activity is ongoing. Where activities have been suspended, the risk assessment should be archived, and in the event of the work resuming the assessment must be reviewed in advance to ensure that control measures remain effective.</w:t>
                      </w:r>
                    </w:p>
                    <w:p w:rsidR="00461B54" w:rsidRPr="00844DF6" w:rsidRDefault="00461B54" w:rsidP="00317E6A">
                      <w:pPr>
                        <w:rPr>
                          <w:color w:val="FF0000"/>
                        </w:rPr>
                      </w:pPr>
                    </w:p>
                    <w:p w:rsidR="00461B54" w:rsidRPr="00844DF6" w:rsidRDefault="00461B54" w:rsidP="00844DF6">
                      <w:pPr>
                        <w:pStyle w:val="ListParagraph"/>
                        <w:numPr>
                          <w:ilvl w:val="0"/>
                          <w:numId w:val="3"/>
                        </w:numPr>
                        <w:spacing w:after="0" w:line="240" w:lineRule="auto"/>
                        <w:jc w:val="both"/>
                        <w:rPr>
                          <w:rFonts w:ascii="Arial" w:hAnsi="Arial" w:cs="Arial"/>
                        </w:rPr>
                      </w:pPr>
                      <w:r w:rsidRPr="00844DF6">
                        <w:rPr>
                          <w:rFonts w:ascii="Arial" w:hAnsi="Arial" w:cs="Arial"/>
                        </w:rPr>
                        <w:t>PPD should begin drafting its SHE Risk Register, and recording its top six SHE Risks, if this has not already started.</w:t>
                      </w:r>
                    </w:p>
                    <w:p w:rsidR="00461B54" w:rsidRPr="00844DF6" w:rsidRDefault="00461B54" w:rsidP="00461B54">
                      <w:pPr>
                        <w:rPr>
                          <w:color w:val="FF0000"/>
                        </w:rPr>
                      </w:pPr>
                    </w:p>
                    <w:p w:rsidR="00461B54" w:rsidRPr="00844DF6" w:rsidRDefault="00461B54" w:rsidP="00844DF6">
                      <w:pPr>
                        <w:pStyle w:val="ListParagraph"/>
                        <w:numPr>
                          <w:ilvl w:val="0"/>
                          <w:numId w:val="3"/>
                        </w:numPr>
                        <w:rPr>
                          <w:rFonts w:ascii="Arial" w:hAnsi="Arial" w:cs="Arial"/>
                        </w:rPr>
                      </w:pPr>
                      <w:r w:rsidRPr="00844DF6">
                        <w:rPr>
                          <w:rFonts w:ascii="Arial" w:hAnsi="Arial" w:cs="Arial"/>
                        </w:rPr>
                        <w:t>PPD should promote the new 2020/21 Health and Safety objectives (completion of ‘</w:t>
                      </w:r>
                      <w:r w:rsidRPr="00844DF6">
                        <w:rPr>
                          <w:rStyle w:val="Hyperlink"/>
                          <w:rFonts w:ascii="Arial" w:hAnsi="Arial" w:cs="Arial"/>
                          <w:color w:val="auto"/>
                        </w:rPr>
                        <w:t>Electrical Essentials’ being one).</w:t>
                      </w:r>
                    </w:p>
                  </w:txbxContent>
                </v:textbox>
                <w10:anchorlock/>
              </v:shape>
            </w:pict>
          </mc:Fallback>
        </mc:AlternateContent>
      </w:r>
    </w:p>
    <w:p w:rsidR="000038B8" w:rsidRPr="00844DF6" w:rsidRDefault="000038B8" w:rsidP="004F462C">
      <w:pPr>
        <w:jc w:val="both"/>
        <w:rPr>
          <w:b/>
          <w:color w:val="FF0000"/>
          <w:sz w:val="22"/>
          <w:szCs w:val="22"/>
        </w:rPr>
      </w:pPr>
    </w:p>
    <w:p w:rsidR="00695AAC" w:rsidRPr="00844DF6" w:rsidRDefault="00695AAC" w:rsidP="004F462C">
      <w:pPr>
        <w:jc w:val="both"/>
        <w:rPr>
          <w:b/>
          <w:color w:val="FF0000"/>
          <w:sz w:val="22"/>
          <w:szCs w:val="22"/>
        </w:rPr>
      </w:pPr>
    </w:p>
    <w:p w:rsidR="00695AAC" w:rsidRPr="00844DF6" w:rsidRDefault="00695AAC" w:rsidP="004F462C">
      <w:pPr>
        <w:jc w:val="both"/>
        <w:rPr>
          <w:b/>
          <w:color w:val="FF0000"/>
          <w:sz w:val="22"/>
          <w:szCs w:val="22"/>
        </w:rPr>
      </w:pPr>
    </w:p>
    <w:p w:rsidR="00695AAC" w:rsidRPr="00844DF6" w:rsidRDefault="00695AAC" w:rsidP="004F462C">
      <w:pPr>
        <w:jc w:val="both"/>
        <w:rPr>
          <w:b/>
          <w:color w:val="FF0000"/>
          <w:sz w:val="22"/>
          <w:szCs w:val="22"/>
        </w:rPr>
      </w:pPr>
    </w:p>
    <w:p w:rsidR="00695AAC" w:rsidRPr="00844DF6" w:rsidRDefault="00695AAC" w:rsidP="004F462C">
      <w:pPr>
        <w:jc w:val="both"/>
        <w:rPr>
          <w:b/>
          <w:color w:val="FF0000"/>
          <w:sz w:val="22"/>
          <w:szCs w:val="22"/>
        </w:rPr>
      </w:pPr>
    </w:p>
    <w:p w:rsidR="00695AAC" w:rsidRPr="00844DF6" w:rsidRDefault="00695AAC" w:rsidP="004F462C">
      <w:pPr>
        <w:jc w:val="both"/>
        <w:rPr>
          <w:b/>
          <w:color w:val="FF0000"/>
          <w:sz w:val="22"/>
          <w:szCs w:val="22"/>
        </w:rPr>
      </w:pPr>
    </w:p>
    <w:p w:rsidR="00695AAC" w:rsidRPr="00844DF6" w:rsidRDefault="00695AAC" w:rsidP="004F462C">
      <w:pPr>
        <w:jc w:val="both"/>
        <w:rPr>
          <w:b/>
          <w:color w:val="FF0000"/>
          <w:sz w:val="22"/>
          <w:szCs w:val="22"/>
        </w:rPr>
      </w:pPr>
    </w:p>
    <w:p w:rsidR="00691A66" w:rsidRPr="00844DF6" w:rsidRDefault="00691A66" w:rsidP="00844DF6">
      <w:pPr>
        <w:numPr>
          <w:ilvl w:val="0"/>
          <w:numId w:val="2"/>
        </w:numPr>
        <w:ind w:hanging="720"/>
        <w:jc w:val="both"/>
        <w:rPr>
          <w:b/>
        </w:rPr>
      </w:pPr>
      <w:r w:rsidRPr="00844DF6">
        <w:rPr>
          <w:b/>
        </w:rPr>
        <w:lastRenderedPageBreak/>
        <w:t>RAL Incident Summary</w:t>
      </w:r>
      <w:r w:rsidR="00461B54" w:rsidRPr="00844DF6">
        <w:rPr>
          <w:b/>
        </w:rPr>
        <w:t xml:space="preserve"> for Q2</w:t>
      </w:r>
      <w:r w:rsidR="00695AAC" w:rsidRPr="00844DF6">
        <w:rPr>
          <w:b/>
        </w:rPr>
        <w:t xml:space="preserve"> 2020/21</w:t>
      </w:r>
    </w:p>
    <w:p w:rsidR="00BF315F" w:rsidRPr="00844DF6" w:rsidRDefault="00BF315F" w:rsidP="00BF315F">
      <w:pPr>
        <w:jc w:val="both"/>
        <w:rPr>
          <w:b/>
        </w:rPr>
      </w:pPr>
    </w:p>
    <w:p w:rsidR="00461B54" w:rsidRPr="00844DF6" w:rsidRDefault="00461B54" w:rsidP="00461B54">
      <w:pPr>
        <w:jc w:val="both"/>
        <w:rPr>
          <w:b/>
        </w:rPr>
      </w:pPr>
    </w:p>
    <w:p w:rsidR="00461B54" w:rsidRPr="00844DF6" w:rsidRDefault="00461B54" w:rsidP="00461B54">
      <w:pPr>
        <w:jc w:val="both"/>
        <w:rPr>
          <w:b/>
          <w:sz w:val="22"/>
          <w:szCs w:val="22"/>
        </w:rPr>
      </w:pPr>
      <w:r w:rsidRPr="00844DF6">
        <w:rPr>
          <w:b/>
          <w:sz w:val="22"/>
          <w:szCs w:val="22"/>
        </w:rPr>
        <w:t xml:space="preserve">RAL </w:t>
      </w:r>
      <w:r w:rsidRPr="00844DF6">
        <w:rPr>
          <w:sz w:val="22"/>
          <w:szCs w:val="22"/>
        </w:rPr>
        <w:t>(does not include DL / ROE or RCH and BID)</w:t>
      </w:r>
    </w:p>
    <w:p w:rsidR="00461B54" w:rsidRPr="00844DF6" w:rsidRDefault="00461B54" w:rsidP="00461B54">
      <w:pPr>
        <w:ind w:left="720"/>
        <w:jc w:val="both"/>
        <w:rPr>
          <w:b/>
        </w:rPr>
      </w:pPr>
    </w:p>
    <w:tbl>
      <w:tblPr>
        <w:tblW w:w="9488" w:type="dxa"/>
        <w:tblLook w:val="04A0" w:firstRow="1" w:lastRow="0" w:firstColumn="1" w:lastColumn="0" w:noHBand="0" w:noVBand="1"/>
      </w:tblPr>
      <w:tblGrid>
        <w:gridCol w:w="2280"/>
        <w:gridCol w:w="395"/>
        <w:gridCol w:w="576"/>
        <w:gridCol w:w="529"/>
        <w:gridCol w:w="500"/>
        <w:gridCol w:w="500"/>
        <w:gridCol w:w="500"/>
        <w:gridCol w:w="500"/>
        <w:gridCol w:w="500"/>
        <w:gridCol w:w="500"/>
        <w:gridCol w:w="500"/>
        <w:gridCol w:w="500"/>
        <w:gridCol w:w="500"/>
        <w:gridCol w:w="1208"/>
      </w:tblGrid>
      <w:tr w:rsidR="00461B54" w:rsidRPr="00844DF6" w:rsidTr="00712E59">
        <w:trPr>
          <w:trHeight w:val="300"/>
        </w:trPr>
        <w:tc>
          <w:tcPr>
            <w:tcW w:w="2280" w:type="dxa"/>
            <w:vMerge w:val="restart"/>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hideMark/>
          </w:tcPr>
          <w:p w:rsidR="00461B54" w:rsidRPr="00844DF6" w:rsidRDefault="00461B54" w:rsidP="00712E59">
            <w:pPr>
              <w:jc w:val="center"/>
              <w:rPr>
                <w:b/>
                <w:bCs/>
                <w:color w:val="000000"/>
                <w:sz w:val="22"/>
                <w:szCs w:val="22"/>
              </w:rPr>
            </w:pPr>
            <w:r w:rsidRPr="00844DF6">
              <w:rPr>
                <w:b/>
                <w:bCs/>
                <w:color w:val="000000"/>
                <w:sz w:val="22"/>
                <w:szCs w:val="22"/>
              </w:rPr>
              <w:t>Category</w:t>
            </w:r>
          </w:p>
        </w:tc>
        <w:tc>
          <w:tcPr>
            <w:tcW w:w="1500" w:type="dxa"/>
            <w:gridSpan w:val="3"/>
            <w:vMerge w:val="restart"/>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rsidR="00461B54" w:rsidRPr="00844DF6" w:rsidRDefault="00461B54" w:rsidP="00712E59">
            <w:pPr>
              <w:jc w:val="center"/>
              <w:rPr>
                <w:b/>
                <w:bCs/>
                <w:color w:val="000000"/>
                <w:sz w:val="22"/>
                <w:szCs w:val="22"/>
              </w:rPr>
            </w:pPr>
            <w:r w:rsidRPr="00844DF6">
              <w:rPr>
                <w:b/>
                <w:bCs/>
                <w:color w:val="000000"/>
                <w:sz w:val="22"/>
                <w:szCs w:val="22"/>
              </w:rPr>
              <w:t>Q1</w:t>
            </w:r>
          </w:p>
        </w:tc>
        <w:tc>
          <w:tcPr>
            <w:tcW w:w="1500" w:type="dxa"/>
            <w:gridSpan w:val="3"/>
            <w:vMerge w:val="restart"/>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rsidR="00461B54" w:rsidRPr="00844DF6" w:rsidRDefault="00461B54" w:rsidP="00712E59">
            <w:pPr>
              <w:jc w:val="center"/>
              <w:rPr>
                <w:b/>
                <w:bCs/>
                <w:color w:val="000000"/>
                <w:sz w:val="22"/>
                <w:szCs w:val="22"/>
              </w:rPr>
            </w:pPr>
            <w:r w:rsidRPr="00844DF6">
              <w:rPr>
                <w:b/>
                <w:bCs/>
                <w:color w:val="000000"/>
                <w:sz w:val="22"/>
                <w:szCs w:val="22"/>
              </w:rPr>
              <w:t>Q2</w:t>
            </w:r>
          </w:p>
        </w:tc>
        <w:tc>
          <w:tcPr>
            <w:tcW w:w="1500" w:type="dxa"/>
            <w:gridSpan w:val="3"/>
            <w:vMerge w:val="restart"/>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rsidR="00461B54" w:rsidRPr="00844DF6" w:rsidRDefault="00461B54" w:rsidP="00712E59">
            <w:pPr>
              <w:jc w:val="center"/>
              <w:rPr>
                <w:b/>
                <w:bCs/>
                <w:color w:val="000000"/>
                <w:sz w:val="22"/>
                <w:szCs w:val="22"/>
              </w:rPr>
            </w:pPr>
            <w:r w:rsidRPr="00844DF6">
              <w:rPr>
                <w:b/>
                <w:bCs/>
                <w:color w:val="000000"/>
                <w:sz w:val="22"/>
                <w:szCs w:val="22"/>
              </w:rPr>
              <w:t>Q3</w:t>
            </w:r>
          </w:p>
        </w:tc>
        <w:tc>
          <w:tcPr>
            <w:tcW w:w="1500" w:type="dxa"/>
            <w:gridSpan w:val="3"/>
            <w:vMerge w:val="restart"/>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rsidR="00461B54" w:rsidRPr="00844DF6" w:rsidRDefault="00461B54" w:rsidP="00712E59">
            <w:pPr>
              <w:jc w:val="center"/>
              <w:rPr>
                <w:b/>
                <w:bCs/>
                <w:color w:val="000000"/>
                <w:sz w:val="22"/>
                <w:szCs w:val="22"/>
              </w:rPr>
            </w:pPr>
            <w:r w:rsidRPr="00844DF6">
              <w:rPr>
                <w:b/>
                <w:bCs/>
                <w:color w:val="000000"/>
                <w:sz w:val="22"/>
                <w:szCs w:val="22"/>
              </w:rPr>
              <w:t>Q4</w:t>
            </w:r>
          </w:p>
        </w:tc>
        <w:tc>
          <w:tcPr>
            <w:tcW w:w="1208" w:type="dxa"/>
            <w:vMerge w:val="restart"/>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hideMark/>
          </w:tcPr>
          <w:p w:rsidR="00461B54" w:rsidRPr="00844DF6" w:rsidRDefault="00461B54" w:rsidP="00712E59">
            <w:pPr>
              <w:jc w:val="center"/>
              <w:rPr>
                <w:b/>
                <w:bCs/>
                <w:color w:val="000000"/>
                <w:sz w:val="22"/>
                <w:szCs w:val="22"/>
              </w:rPr>
            </w:pPr>
            <w:r w:rsidRPr="00844DF6">
              <w:rPr>
                <w:b/>
                <w:bCs/>
                <w:color w:val="000000"/>
                <w:sz w:val="22"/>
                <w:szCs w:val="22"/>
              </w:rPr>
              <w:t>2020/21 Total</w:t>
            </w:r>
          </w:p>
        </w:tc>
      </w:tr>
      <w:tr w:rsidR="00461B54" w:rsidRPr="00844DF6" w:rsidTr="00712E59">
        <w:trPr>
          <w:trHeight w:val="300"/>
        </w:trPr>
        <w:tc>
          <w:tcPr>
            <w:tcW w:w="2280" w:type="dxa"/>
            <w:vMerge/>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hideMark/>
          </w:tcPr>
          <w:p w:rsidR="00461B54" w:rsidRPr="00844DF6" w:rsidRDefault="00461B54" w:rsidP="00712E59">
            <w:pPr>
              <w:rPr>
                <w:b/>
                <w:bCs/>
                <w:color w:val="000000"/>
                <w:sz w:val="22"/>
                <w:szCs w:val="22"/>
              </w:rPr>
            </w:pPr>
          </w:p>
        </w:tc>
        <w:tc>
          <w:tcPr>
            <w:tcW w:w="1500" w:type="dxa"/>
            <w:gridSpan w:val="3"/>
            <w:vMerge/>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rsidR="00461B54" w:rsidRPr="00844DF6" w:rsidRDefault="00461B54" w:rsidP="00712E59">
            <w:pPr>
              <w:rPr>
                <w:b/>
                <w:bCs/>
                <w:color w:val="000000"/>
                <w:sz w:val="22"/>
                <w:szCs w:val="22"/>
              </w:rPr>
            </w:pPr>
          </w:p>
        </w:tc>
        <w:tc>
          <w:tcPr>
            <w:tcW w:w="1500" w:type="dxa"/>
            <w:gridSpan w:val="3"/>
            <w:vMerge/>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rsidR="00461B54" w:rsidRPr="00844DF6" w:rsidRDefault="00461B54" w:rsidP="00712E59">
            <w:pPr>
              <w:rPr>
                <w:b/>
                <w:bCs/>
                <w:color w:val="000000"/>
                <w:sz w:val="22"/>
                <w:szCs w:val="22"/>
              </w:rPr>
            </w:pPr>
          </w:p>
        </w:tc>
        <w:tc>
          <w:tcPr>
            <w:tcW w:w="1500" w:type="dxa"/>
            <w:gridSpan w:val="3"/>
            <w:vMerge/>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rsidR="00461B54" w:rsidRPr="00844DF6" w:rsidRDefault="00461B54" w:rsidP="00712E59">
            <w:pPr>
              <w:rPr>
                <w:b/>
                <w:bCs/>
                <w:color w:val="000000"/>
                <w:sz w:val="22"/>
                <w:szCs w:val="22"/>
              </w:rPr>
            </w:pPr>
          </w:p>
        </w:tc>
        <w:tc>
          <w:tcPr>
            <w:tcW w:w="1500" w:type="dxa"/>
            <w:gridSpan w:val="3"/>
            <w:vMerge/>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rsidR="00461B54" w:rsidRPr="00844DF6" w:rsidRDefault="00461B54" w:rsidP="00712E59">
            <w:pPr>
              <w:rPr>
                <w:b/>
                <w:bCs/>
                <w:color w:val="000000"/>
                <w:sz w:val="22"/>
                <w:szCs w:val="22"/>
              </w:rPr>
            </w:pPr>
          </w:p>
        </w:tc>
        <w:tc>
          <w:tcPr>
            <w:tcW w:w="1208" w:type="dxa"/>
            <w:vMerge/>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hideMark/>
          </w:tcPr>
          <w:p w:rsidR="00461B54" w:rsidRPr="00844DF6" w:rsidRDefault="00461B54" w:rsidP="00712E59">
            <w:pPr>
              <w:rPr>
                <w:b/>
                <w:bCs/>
                <w:color w:val="000000"/>
                <w:sz w:val="22"/>
                <w:szCs w:val="22"/>
              </w:rPr>
            </w:pPr>
          </w:p>
        </w:tc>
      </w:tr>
      <w:tr w:rsidR="00461B54" w:rsidRPr="00844DF6" w:rsidTr="00712E59">
        <w:trPr>
          <w:trHeight w:val="636"/>
        </w:trPr>
        <w:tc>
          <w:tcPr>
            <w:tcW w:w="2280" w:type="dxa"/>
            <w:tcBorders>
              <w:top w:val="single" w:sz="4" w:space="0" w:color="auto"/>
              <w:left w:val="single" w:sz="8" w:space="0" w:color="auto"/>
              <w:bottom w:val="single" w:sz="8" w:space="0" w:color="000000"/>
              <w:right w:val="single" w:sz="8" w:space="0" w:color="000000"/>
            </w:tcBorders>
            <w:shd w:val="clear" w:color="auto" w:fill="auto"/>
            <w:vAlign w:val="center"/>
            <w:hideMark/>
          </w:tcPr>
          <w:p w:rsidR="00461B54" w:rsidRPr="00844DF6" w:rsidRDefault="00461B54" w:rsidP="00712E59">
            <w:pPr>
              <w:spacing w:before="120" w:after="120"/>
              <w:jc w:val="center"/>
              <w:rPr>
                <w:color w:val="000000"/>
                <w:sz w:val="22"/>
                <w:szCs w:val="22"/>
              </w:rPr>
            </w:pPr>
            <w:r w:rsidRPr="00844DF6">
              <w:rPr>
                <w:color w:val="000000"/>
                <w:sz w:val="22"/>
                <w:szCs w:val="22"/>
              </w:rPr>
              <w:t>RIDDOR reportable incidents</w:t>
            </w:r>
          </w:p>
        </w:tc>
        <w:tc>
          <w:tcPr>
            <w:tcW w:w="1500" w:type="dxa"/>
            <w:gridSpan w:val="3"/>
            <w:tcBorders>
              <w:top w:val="single" w:sz="4" w:space="0" w:color="auto"/>
              <w:left w:val="nil"/>
              <w:bottom w:val="nil"/>
              <w:right w:val="single" w:sz="8" w:space="0" w:color="000000"/>
            </w:tcBorders>
            <w:shd w:val="clear" w:color="auto" w:fill="F2F2F2" w:themeFill="background1" w:themeFillShade="F2"/>
            <w:noWrap/>
            <w:vAlign w:val="center"/>
            <w:hideMark/>
          </w:tcPr>
          <w:p w:rsidR="00461B54" w:rsidRPr="00844DF6" w:rsidRDefault="00461B54" w:rsidP="00712E59">
            <w:pPr>
              <w:spacing w:before="120" w:after="120"/>
              <w:jc w:val="center"/>
              <w:rPr>
                <w:b/>
                <w:color w:val="FF0000"/>
                <w:sz w:val="22"/>
                <w:szCs w:val="22"/>
              </w:rPr>
            </w:pPr>
            <w:r w:rsidRPr="00844DF6">
              <w:rPr>
                <w:b/>
                <w:color w:val="FF0000"/>
                <w:sz w:val="22"/>
                <w:szCs w:val="22"/>
              </w:rPr>
              <w:t>1</w:t>
            </w:r>
          </w:p>
        </w:tc>
        <w:tc>
          <w:tcPr>
            <w:tcW w:w="1500" w:type="dxa"/>
            <w:gridSpan w:val="3"/>
            <w:tcBorders>
              <w:top w:val="single" w:sz="4" w:space="0" w:color="auto"/>
              <w:left w:val="nil"/>
              <w:bottom w:val="nil"/>
              <w:right w:val="single" w:sz="8" w:space="0" w:color="000000"/>
            </w:tcBorders>
            <w:shd w:val="clear" w:color="auto" w:fill="FFFFFF" w:themeFill="background1"/>
            <w:noWrap/>
            <w:vAlign w:val="center"/>
            <w:hideMark/>
          </w:tcPr>
          <w:p w:rsidR="00461B54" w:rsidRPr="00844DF6" w:rsidRDefault="00461B54" w:rsidP="00712E59">
            <w:pPr>
              <w:spacing w:before="120" w:after="120"/>
              <w:jc w:val="center"/>
              <w:rPr>
                <w:b/>
                <w:color w:val="FF0000"/>
                <w:sz w:val="22"/>
                <w:szCs w:val="22"/>
              </w:rPr>
            </w:pPr>
            <w:r w:rsidRPr="00844DF6">
              <w:rPr>
                <w:b/>
                <w:color w:val="FF0000"/>
                <w:sz w:val="22"/>
                <w:szCs w:val="22"/>
              </w:rPr>
              <w:t>0</w:t>
            </w:r>
          </w:p>
        </w:tc>
        <w:tc>
          <w:tcPr>
            <w:tcW w:w="1500" w:type="dxa"/>
            <w:gridSpan w:val="3"/>
            <w:tcBorders>
              <w:top w:val="single" w:sz="4" w:space="0" w:color="auto"/>
              <w:left w:val="nil"/>
              <w:bottom w:val="nil"/>
              <w:right w:val="single" w:sz="8" w:space="0" w:color="000000"/>
            </w:tcBorders>
            <w:shd w:val="clear" w:color="auto" w:fill="F2F2F2" w:themeFill="background1" w:themeFillShade="F2"/>
            <w:noWrap/>
            <w:vAlign w:val="center"/>
            <w:hideMark/>
          </w:tcPr>
          <w:p w:rsidR="00461B54" w:rsidRPr="00844DF6" w:rsidRDefault="00461B54" w:rsidP="00712E59">
            <w:pPr>
              <w:spacing w:before="120" w:after="120"/>
              <w:jc w:val="center"/>
              <w:rPr>
                <w:color w:val="FF0000"/>
                <w:sz w:val="22"/>
                <w:szCs w:val="22"/>
              </w:rPr>
            </w:pPr>
            <w:r w:rsidRPr="00844DF6">
              <w:rPr>
                <w:color w:val="FF0000"/>
                <w:sz w:val="22"/>
                <w:szCs w:val="22"/>
              </w:rPr>
              <w:t>0</w:t>
            </w:r>
          </w:p>
        </w:tc>
        <w:tc>
          <w:tcPr>
            <w:tcW w:w="1500" w:type="dxa"/>
            <w:gridSpan w:val="3"/>
            <w:tcBorders>
              <w:top w:val="single" w:sz="4" w:space="0" w:color="auto"/>
              <w:left w:val="nil"/>
              <w:bottom w:val="nil"/>
              <w:right w:val="single" w:sz="8" w:space="0" w:color="000000"/>
            </w:tcBorders>
            <w:shd w:val="clear" w:color="auto" w:fill="F2F2F2" w:themeFill="background1" w:themeFillShade="F2"/>
            <w:noWrap/>
            <w:vAlign w:val="center"/>
            <w:hideMark/>
          </w:tcPr>
          <w:p w:rsidR="00461B54" w:rsidRPr="00844DF6" w:rsidRDefault="00461B54" w:rsidP="00712E59">
            <w:pPr>
              <w:spacing w:before="120" w:after="120"/>
              <w:jc w:val="center"/>
              <w:rPr>
                <w:color w:val="FF0000"/>
                <w:sz w:val="22"/>
                <w:szCs w:val="22"/>
              </w:rPr>
            </w:pPr>
            <w:r w:rsidRPr="00844DF6">
              <w:rPr>
                <w:color w:val="FF0000"/>
                <w:sz w:val="22"/>
                <w:szCs w:val="22"/>
              </w:rPr>
              <w:t>0</w:t>
            </w:r>
          </w:p>
        </w:tc>
        <w:tc>
          <w:tcPr>
            <w:tcW w:w="1208" w:type="dxa"/>
            <w:tcBorders>
              <w:top w:val="single" w:sz="4" w:space="0" w:color="auto"/>
              <w:left w:val="nil"/>
              <w:bottom w:val="nil"/>
              <w:right w:val="single" w:sz="8" w:space="0" w:color="auto"/>
            </w:tcBorders>
            <w:shd w:val="clear" w:color="auto" w:fill="auto"/>
            <w:noWrap/>
            <w:vAlign w:val="center"/>
            <w:hideMark/>
          </w:tcPr>
          <w:p w:rsidR="00461B54" w:rsidRPr="00844DF6" w:rsidRDefault="00461B54" w:rsidP="00712E59">
            <w:pPr>
              <w:spacing w:before="120" w:after="120"/>
              <w:jc w:val="center"/>
              <w:rPr>
                <w:b/>
                <w:color w:val="FF0000"/>
                <w:sz w:val="22"/>
                <w:szCs w:val="22"/>
              </w:rPr>
            </w:pPr>
            <w:r w:rsidRPr="00844DF6">
              <w:rPr>
                <w:b/>
                <w:color w:val="FF0000"/>
                <w:sz w:val="22"/>
                <w:szCs w:val="22"/>
              </w:rPr>
              <w:t>1</w:t>
            </w:r>
          </w:p>
        </w:tc>
      </w:tr>
      <w:tr w:rsidR="00461B54" w:rsidRPr="00844DF6" w:rsidTr="00712E59">
        <w:trPr>
          <w:trHeight w:val="324"/>
        </w:trPr>
        <w:tc>
          <w:tcPr>
            <w:tcW w:w="2280" w:type="dxa"/>
            <w:tcBorders>
              <w:top w:val="nil"/>
              <w:left w:val="single" w:sz="8" w:space="0" w:color="auto"/>
              <w:bottom w:val="single" w:sz="8" w:space="0" w:color="000000"/>
              <w:right w:val="nil"/>
            </w:tcBorders>
            <w:shd w:val="clear" w:color="auto" w:fill="auto"/>
            <w:noWrap/>
            <w:vAlign w:val="center"/>
            <w:hideMark/>
          </w:tcPr>
          <w:p w:rsidR="00461B54" w:rsidRPr="00844DF6" w:rsidRDefault="00461B54" w:rsidP="00712E59">
            <w:pPr>
              <w:spacing w:before="120" w:after="120"/>
              <w:jc w:val="center"/>
              <w:rPr>
                <w:color w:val="000000"/>
                <w:sz w:val="22"/>
                <w:szCs w:val="22"/>
              </w:rPr>
            </w:pPr>
            <w:r w:rsidRPr="00844DF6">
              <w:rPr>
                <w:color w:val="000000"/>
                <w:sz w:val="22"/>
                <w:szCs w:val="22"/>
              </w:rPr>
              <w:t>Injuries</w:t>
            </w:r>
          </w:p>
        </w:tc>
        <w:tc>
          <w:tcPr>
            <w:tcW w:w="39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b/>
                <w:color w:val="FF0000"/>
                <w:sz w:val="22"/>
                <w:szCs w:val="22"/>
              </w:rPr>
            </w:pPr>
            <w:r w:rsidRPr="00844DF6">
              <w:rPr>
                <w:b/>
                <w:color w:val="FF0000"/>
                <w:sz w:val="22"/>
                <w:szCs w:val="22"/>
              </w:rPr>
              <w:t>0</w:t>
            </w:r>
          </w:p>
        </w:tc>
        <w:tc>
          <w:tcPr>
            <w:tcW w:w="576" w:type="dxa"/>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b/>
                <w:color w:val="FFC000"/>
                <w:sz w:val="22"/>
                <w:szCs w:val="22"/>
              </w:rPr>
            </w:pPr>
            <w:r w:rsidRPr="00844DF6">
              <w:rPr>
                <w:b/>
                <w:color w:val="FFC000"/>
                <w:sz w:val="22"/>
                <w:szCs w:val="22"/>
              </w:rPr>
              <w:t>0</w:t>
            </w:r>
          </w:p>
        </w:tc>
        <w:tc>
          <w:tcPr>
            <w:tcW w:w="529" w:type="dxa"/>
            <w:tcBorders>
              <w:top w:val="single" w:sz="8" w:space="0" w:color="auto"/>
              <w:left w:val="nil"/>
              <w:bottom w:val="single" w:sz="4" w:space="0" w:color="auto"/>
              <w:right w:val="nil"/>
            </w:tcBorders>
            <w:shd w:val="clear" w:color="auto" w:fill="F2F2F2" w:themeFill="background1" w:themeFillShade="F2"/>
            <w:noWrap/>
            <w:vAlign w:val="center"/>
            <w:hideMark/>
          </w:tcPr>
          <w:p w:rsidR="00461B54" w:rsidRPr="00844DF6" w:rsidRDefault="00461B54" w:rsidP="00712E59">
            <w:pPr>
              <w:spacing w:before="120" w:after="120"/>
              <w:jc w:val="center"/>
              <w:rPr>
                <w:b/>
                <w:color w:val="00B050"/>
                <w:sz w:val="22"/>
                <w:szCs w:val="22"/>
              </w:rPr>
            </w:pPr>
            <w:r w:rsidRPr="00844DF6">
              <w:rPr>
                <w:b/>
                <w:color w:val="00B050"/>
                <w:sz w:val="22"/>
                <w:szCs w:val="22"/>
              </w:rPr>
              <w:t>4</w:t>
            </w:r>
          </w:p>
        </w:tc>
        <w:tc>
          <w:tcPr>
            <w:tcW w:w="500"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rsidR="00461B54" w:rsidRPr="00844DF6" w:rsidRDefault="00461B54" w:rsidP="00712E59">
            <w:pPr>
              <w:spacing w:before="120" w:after="120"/>
              <w:jc w:val="center"/>
              <w:rPr>
                <w:color w:val="FF0000"/>
                <w:sz w:val="22"/>
                <w:szCs w:val="22"/>
              </w:rPr>
            </w:pPr>
            <w:r w:rsidRPr="00844DF6">
              <w:rPr>
                <w:color w:val="FF0000"/>
                <w:sz w:val="22"/>
                <w:szCs w:val="22"/>
              </w:rPr>
              <w:t>0</w:t>
            </w:r>
          </w:p>
        </w:tc>
        <w:tc>
          <w:tcPr>
            <w:tcW w:w="500"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461B54" w:rsidRPr="00844DF6" w:rsidRDefault="00461B54" w:rsidP="00712E59">
            <w:pPr>
              <w:spacing w:before="120" w:after="120"/>
              <w:jc w:val="center"/>
              <w:rPr>
                <w:b/>
                <w:color w:val="FFC000"/>
                <w:sz w:val="22"/>
                <w:szCs w:val="22"/>
              </w:rPr>
            </w:pPr>
            <w:r w:rsidRPr="00844DF6">
              <w:rPr>
                <w:b/>
                <w:color w:val="FFC000"/>
                <w:sz w:val="22"/>
                <w:szCs w:val="22"/>
              </w:rPr>
              <w:t>3</w:t>
            </w:r>
          </w:p>
        </w:tc>
        <w:tc>
          <w:tcPr>
            <w:tcW w:w="500" w:type="dxa"/>
            <w:tcBorders>
              <w:top w:val="single" w:sz="8" w:space="0" w:color="auto"/>
              <w:left w:val="nil"/>
              <w:bottom w:val="single" w:sz="4" w:space="0" w:color="auto"/>
              <w:right w:val="nil"/>
            </w:tcBorders>
            <w:shd w:val="clear" w:color="auto" w:fill="FFFFFF" w:themeFill="background1"/>
            <w:noWrap/>
            <w:vAlign w:val="center"/>
            <w:hideMark/>
          </w:tcPr>
          <w:p w:rsidR="00461B54" w:rsidRPr="00844DF6" w:rsidRDefault="00461B54" w:rsidP="00712E59">
            <w:pPr>
              <w:spacing w:before="120" w:after="120"/>
              <w:jc w:val="center"/>
              <w:rPr>
                <w:b/>
                <w:color w:val="00B050"/>
                <w:sz w:val="22"/>
                <w:szCs w:val="22"/>
              </w:rPr>
            </w:pPr>
            <w:r w:rsidRPr="00844DF6">
              <w:rPr>
                <w:b/>
                <w:color w:val="00B050"/>
                <w:sz w:val="22"/>
                <w:szCs w:val="22"/>
              </w:rPr>
              <w:t>11</w:t>
            </w:r>
          </w:p>
        </w:tc>
        <w:tc>
          <w:tcPr>
            <w:tcW w:w="500"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color w:val="FF0000"/>
                <w:sz w:val="22"/>
                <w:szCs w:val="22"/>
              </w:rPr>
            </w:pPr>
            <w:r w:rsidRPr="00844DF6">
              <w:rPr>
                <w:color w:val="FF0000"/>
                <w:sz w:val="22"/>
                <w:szCs w:val="22"/>
              </w:rPr>
              <w:t>0</w:t>
            </w:r>
          </w:p>
        </w:tc>
        <w:tc>
          <w:tcPr>
            <w:tcW w:w="500" w:type="dxa"/>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color w:val="FFC000"/>
                <w:sz w:val="22"/>
                <w:szCs w:val="22"/>
              </w:rPr>
            </w:pPr>
            <w:r w:rsidRPr="00844DF6">
              <w:rPr>
                <w:color w:val="FFC000"/>
                <w:sz w:val="22"/>
                <w:szCs w:val="22"/>
              </w:rPr>
              <w:t>0</w:t>
            </w:r>
          </w:p>
        </w:tc>
        <w:tc>
          <w:tcPr>
            <w:tcW w:w="500" w:type="dxa"/>
            <w:tcBorders>
              <w:top w:val="single" w:sz="8" w:space="0" w:color="auto"/>
              <w:left w:val="nil"/>
              <w:bottom w:val="single" w:sz="4" w:space="0" w:color="auto"/>
              <w:right w:val="nil"/>
            </w:tcBorders>
            <w:shd w:val="clear" w:color="auto" w:fill="F2F2F2" w:themeFill="background1" w:themeFillShade="F2"/>
            <w:noWrap/>
            <w:vAlign w:val="center"/>
            <w:hideMark/>
          </w:tcPr>
          <w:p w:rsidR="00461B54" w:rsidRPr="00844DF6" w:rsidRDefault="00461B54" w:rsidP="00712E59">
            <w:pPr>
              <w:spacing w:before="120" w:after="120"/>
              <w:jc w:val="center"/>
              <w:rPr>
                <w:color w:val="00B050"/>
                <w:sz w:val="22"/>
                <w:szCs w:val="22"/>
              </w:rPr>
            </w:pPr>
            <w:r w:rsidRPr="00844DF6">
              <w:rPr>
                <w:color w:val="00B050"/>
                <w:sz w:val="22"/>
                <w:szCs w:val="22"/>
              </w:rPr>
              <w:t>0</w:t>
            </w:r>
          </w:p>
        </w:tc>
        <w:tc>
          <w:tcPr>
            <w:tcW w:w="500"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color w:val="FF0000"/>
                <w:sz w:val="22"/>
                <w:szCs w:val="22"/>
              </w:rPr>
            </w:pPr>
            <w:r w:rsidRPr="00844DF6">
              <w:rPr>
                <w:color w:val="FF0000"/>
                <w:sz w:val="22"/>
                <w:szCs w:val="22"/>
              </w:rPr>
              <w:t>0</w:t>
            </w:r>
          </w:p>
        </w:tc>
        <w:tc>
          <w:tcPr>
            <w:tcW w:w="500" w:type="dxa"/>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color w:val="FFC000"/>
                <w:sz w:val="22"/>
                <w:szCs w:val="22"/>
              </w:rPr>
            </w:pPr>
            <w:r w:rsidRPr="00844DF6">
              <w:rPr>
                <w:color w:val="FFC000"/>
                <w:sz w:val="22"/>
                <w:szCs w:val="22"/>
              </w:rPr>
              <w:t>0</w:t>
            </w:r>
          </w:p>
        </w:tc>
        <w:tc>
          <w:tcPr>
            <w:tcW w:w="500" w:type="dxa"/>
            <w:tcBorders>
              <w:top w:val="single" w:sz="8" w:space="0" w:color="auto"/>
              <w:left w:val="nil"/>
              <w:bottom w:val="single" w:sz="4" w:space="0" w:color="auto"/>
              <w:right w:val="nil"/>
            </w:tcBorders>
            <w:shd w:val="clear" w:color="auto" w:fill="F2F2F2" w:themeFill="background1" w:themeFillShade="F2"/>
            <w:noWrap/>
            <w:vAlign w:val="center"/>
            <w:hideMark/>
          </w:tcPr>
          <w:p w:rsidR="00461B54" w:rsidRPr="00844DF6" w:rsidRDefault="00461B54" w:rsidP="00712E59">
            <w:pPr>
              <w:spacing w:before="120" w:after="120"/>
              <w:jc w:val="center"/>
              <w:rPr>
                <w:color w:val="00B050"/>
                <w:sz w:val="22"/>
                <w:szCs w:val="22"/>
              </w:rPr>
            </w:pPr>
            <w:r w:rsidRPr="00844DF6">
              <w:rPr>
                <w:color w:val="00B050"/>
                <w:sz w:val="22"/>
                <w:szCs w:val="22"/>
              </w:rPr>
              <w:t>0</w:t>
            </w:r>
          </w:p>
        </w:tc>
        <w:tc>
          <w:tcPr>
            <w:tcW w:w="120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61B54" w:rsidRPr="00844DF6" w:rsidRDefault="00461B54" w:rsidP="00712E59">
            <w:pPr>
              <w:spacing w:before="120" w:after="120"/>
              <w:jc w:val="center"/>
              <w:rPr>
                <w:b/>
                <w:sz w:val="22"/>
                <w:szCs w:val="22"/>
              </w:rPr>
            </w:pPr>
            <w:r w:rsidRPr="00844DF6">
              <w:rPr>
                <w:b/>
                <w:sz w:val="22"/>
                <w:szCs w:val="22"/>
              </w:rPr>
              <w:t>18</w:t>
            </w:r>
          </w:p>
        </w:tc>
      </w:tr>
      <w:tr w:rsidR="00461B54" w:rsidRPr="00844DF6" w:rsidTr="00712E59">
        <w:trPr>
          <w:trHeight w:val="324"/>
        </w:trPr>
        <w:tc>
          <w:tcPr>
            <w:tcW w:w="2280" w:type="dxa"/>
            <w:tcBorders>
              <w:top w:val="nil"/>
              <w:left w:val="single" w:sz="8" w:space="0" w:color="auto"/>
              <w:bottom w:val="single" w:sz="8" w:space="0" w:color="000000"/>
              <w:right w:val="nil"/>
            </w:tcBorders>
            <w:shd w:val="clear" w:color="auto" w:fill="auto"/>
            <w:noWrap/>
            <w:vAlign w:val="center"/>
            <w:hideMark/>
          </w:tcPr>
          <w:p w:rsidR="00461B54" w:rsidRPr="00844DF6" w:rsidRDefault="00461B54" w:rsidP="00712E59">
            <w:pPr>
              <w:spacing w:before="120" w:after="120"/>
              <w:rPr>
                <w:color w:val="000000"/>
                <w:sz w:val="22"/>
                <w:szCs w:val="22"/>
              </w:rPr>
            </w:pPr>
            <w:r w:rsidRPr="00844DF6">
              <w:rPr>
                <w:color w:val="000000"/>
                <w:sz w:val="22"/>
                <w:szCs w:val="22"/>
              </w:rPr>
              <w:t>Non Injury Incidents</w:t>
            </w:r>
          </w:p>
        </w:tc>
        <w:tc>
          <w:tcPr>
            <w:tcW w:w="395"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b/>
                <w:color w:val="FF0000"/>
                <w:sz w:val="22"/>
                <w:szCs w:val="22"/>
              </w:rPr>
            </w:pPr>
            <w:r w:rsidRPr="00844DF6">
              <w:rPr>
                <w:b/>
                <w:color w:val="FF0000"/>
                <w:sz w:val="22"/>
                <w:szCs w:val="22"/>
              </w:rPr>
              <w:t>0</w:t>
            </w:r>
          </w:p>
        </w:tc>
        <w:tc>
          <w:tcPr>
            <w:tcW w:w="576" w:type="dxa"/>
            <w:tcBorders>
              <w:top w:val="nil"/>
              <w:left w:val="nil"/>
              <w:bottom w:val="single" w:sz="8"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b/>
                <w:color w:val="FFC000"/>
                <w:sz w:val="22"/>
                <w:szCs w:val="22"/>
              </w:rPr>
            </w:pPr>
            <w:r w:rsidRPr="00844DF6">
              <w:rPr>
                <w:b/>
                <w:color w:val="FFC000"/>
                <w:sz w:val="22"/>
                <w:szCs w:val="22"/>
              </w:rPr>
              <w:t>5</w:t>
            </w:r>
          </w:p>
        </w:tc>
        <w:tc>
          <w:tcPr>
            <w:tcW w:w="529" w:type="dxa"/>
            <w:tcBorders>
              <w:top w:val="nil"/>
              <w:left w:val="nil"/>
              <w:bottom w:val="single" w:sz="8" w:space="0" w:color="auto"/>
              <w:right w:val="nil"/>
            </w:tcBorders>
            <w:shd w:val="clear" w:color="auto" w:fill="F2F2F2" w:themeFill="background1" w:themeFillShade="F2"/>
            <w:noWrap/>
            <w:vAlign w:val="center"/>
            <w:hideMark/>
          </w:tcPr>
          <w:p w:rsidR="00461B54" w:rsidRPr="00844DF6" w:rsidRDefault="00461B54" w:rsidP="00712E59">
            <w:pPr>
              <w:spacing w:before="120" w:after="120"/>
              <w:jc w:val="center"/>
              <w:rPr>
                <w:b/>
                <w:color w:val="00B050"/>
                <w:sz w:val="22"/>
                <w:szCs w:val="22"/>
              </w:rPr>
            </w:pPr>
            <w:r w:rsidRPr="00844DF6">
              <w:rPr>
                <w:b/>
                <w:color w:val="00B050"/>
                <w:sz w:val="22"/>
                <w:szCs w:val="22"/>
              </w:rPr>
              <w:t>15</w:t>
            </w:r>
          </w:p>
        </w:tc>
        <w:tc>
          <w:tcPr>
            <w:tcW w:w="500" w:type="dxa"/>
            <w:tcBorders>
              <w:top w:val="nil"/>
              <w:left w:val="single" w:sz="8" w:space="0" w:color="auto"/>
              <w:bottom w:val="single" w:sz="8" w:space="0" w:color="auto"/>
              <w:right w:val="single" w:sz="4" w:space="0" w:color="auto"/>
            </w:tcBorders>
            <w:shd w:val="clear" w:color="auto" w:fill="FFFFFF" w:themeFill="background1"/>
            <w:noWrap/>
            <w:vAlign w:val="center"/>
            <w:hideMark/>
          </w:tcPr>
          <w:p w:rsidR="00461B54" w:rsidRPr="00844DF6" w:rsidRDefault="00461B54" w:rsidP="00712E59">
            <w:pPr>
              <w:spacing w:before="120" w:after="120"/>
              <w:jc w:val="center"/>
              <w:rPr>
                <w:color w:val="FF0000"/>
                <w:sz w:val="22"/>
                <w:szCs w:val="22"/>
              </w:rPr>
            </w:pPr>
            <w:r w:rsidRPr="00844DF6">
              <w:rPr>
                <w:color w:val="FF0000"/>
                <w:sz w:val="22"/>
                <w:szCs w:val="22"/>
              </w:rPr>
              <w:t>0</w:t>
            </w:r>
          </w:p>
        </w:tc>
        <w:tc>
          <w:tcPr>
            <w:tcW w:w="500" w:type="dxa"/>
            <w:tcBorders>
              <w:top w:val="nil"/>
              <w:left w:val="nil"/>
              <w:bottom w:val="single" w:sz="8" w:space="0" w:color="auto"/>
              <w:right w:val="single" w:sz="4" w:space="0" w:color="auto"/>
            </w:tcBorders>
            <w:shd w:val="clear" w:color="auto" w:fill="FFFFFF" w:themeFill="background1"/>
            <w:noWrap/>
            <w:vAlign w:val="center"/>
            <w:hideMark/>
          </w:tcPr>
          <w:p w:rsidR="00461B54" w:rsidRPr="00844DF6" w:rsidRDefault="00461B54" w:rsidP="00712E59">
            <w:pPr>
              <w:spacing w:before="120" w:after="120"/>
              <w:jc w:val="center"/>
              <w:rPr>
                <w:b/>
                <w:color w:val="FFC000"/>
                <w:sz w:val="22"/>
                <w:szCs w:val="22"/>
              </w:rPr>
            </w:pPr>
            <w:r w:rsidRPr="00844DF6">
              <w:rPr>
                <w:b/>
                <w:color w:val="FFC000"/>
                <w:sz w:val="22"/>
                <w:szCs w:val="22"/>
              </w:rPr>
              <w:t>19</w:t>
            </w:r>
          </w:p>
        </w:tc>
        <w:tc>
          <w:tcPr>
            <w:tcW w:w="500" w:type="dxa"/>
            <w:tcBorders>
              <w:top w:val="nil"/>
              <w:left w:val="nil"/>
              <w:bottom w:val="single" w:sz="8" w:space="0" w:color="auto"/>
              <w:right w:val="nil"/>
            </w:tcBorders>
            <w:shd w:val="clear" w:color="auto" w:fill="FFFFFF" w:themeFill="background1"/>
            <w:noWrap/>
            <w:vAlign w:val="center"/>
            <w:hideMark/>
          </w:tcPr>
          <w:p w:rsidR="00461B54" w:rsidRPr="00844DF6" w:rsidRDefault="00461B54" w:rsidP="00712E59">
            <w:pPr>
              <w:spacing w:before="120" w:after="120"/>
              <w:jc w:val="center"/>
              <w:rPr>
                <w:b/>
                <w:color w:val="00B050"/>
                <w:sz w:val="22"/>
                <w:szCs w:val="22"/>
              </w:rPr>
            </w:pPr>
            <w:r w:rsidRPr="00844DF6">
              <w:rPr>
                <w:b/>
                <w:color w:val="00B050"/>
                <w:sz w:val="22"/>
                <w:szCs w:val="22"/>
              </w:rPr>
              <w:t>54</w:t>
            </w:r>
          </w:p>
        </w:tc>
        <w:tc>
          <w:tcPr>
            <w:tcW w:w="500"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color w:val="FF0000"/>
                <w:sz w:val="22"/>
                <w:szCs w:val="22"/>
              </w:rPr>
            </w:pPr>
            <w:r w:rsidRPr="00844DF6">
              <w:rPr>
                <w:color w:val="FF0000"/>
                <w:sz w:val="22"/>
                <w:szCs w:val="22"/>
              </w:rPr>
              <w:t>0</w:t>
            </w:r>
          </w:p>
        </w:tc>
        <w:tc>
          <w:tcPr>
            <w:tcW w:w="500" w:type="dxa"/>
            <w:tcBorders>
              <w:top w:val="nil"/>
              <w:left w:val="nil"/>
              <w:bottom w:val="single" w:sz="8"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color w:val="FFC000"/>
                <w:sz w:val="22"/>
                <w:szCs w:val="22"/>
              </w:rPr>
            </w:pPr>
            <w:r w:rsidRPr="00844DF6">
              <w:rPr>
                <w:color w:val="FFC000"/>
                <w:sz w:val="22"/>
                <w:szCs w:val="22"/>
              </w:rPr>
              <w:t>0</w:t>
            </w:r>
          </w:p>
        </w:tc>
        <w:tc>
          <w:tcPr>
            <w:tcW w:w="500" w:type="dxa"/>
            <w:tcBorders>
              <w:top w:val="nil"/>
              <w:left w:val="nil"/>
              <w:bottom w:val="single" w:sz="8" w:space="0" w:color="auto"/>
              <w:right w:val="nil"/>
            </w:tcBorders>
            <w:shd w:val="clear" w:color="auto" w:fill="F2F2F2" w:themeFill="background1" w:themeFillShade="F2"/>
            <w:noWrap/>
            <w:vAlign w:val="center"/>
            <w:hideMark/>
          </w:tcPr>
          <w:p w:rsidR="00461B54" w:rsidRPr="00844DF6" w:rsidRDefault="00461B54" w:rsidP="00712E59">
            <w:pPr>
              <w:spacing w:before="120" w:after="120"/>
              <w:jc w:val="center"/>
              <w:rPr>
                <w:color w:val="00B050"/>
                <w:sz w:val="22"/>
                <w:szCs w:val="22"/>
              </w:rPr>
            </w:pPr>
            <w:r w:rsidRPr="00844DF6">
              <w:rPr>
                <w:color w:val="00B050"/>
                <w:sz w:val="22"/>
                <w:szCs w:val="22"/>
              </w:rPr>
              <w:t>0</w:t>
            </w:r>
          </w:p>
        </w:tc>
        <w:tc>
          <w:tcPr>
            <w:tcW w:w="500"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color w:val="FF0000"/>
                <w:sz w:val="22"/>
                <w:szCs w:val="22"/>
              </w:rPr>
            </w:pPr>
            <w:r w:rsidRPr="00844DF6">
              <w:rPr>
                <w:color w:val="FF0000"/>
                <w:sz w:val="22"/>
                <w:szCs w:val="22"/>
              </w:rPr>
              <w:t>0</w:t>
            </w:r>
          </w:p>
        </w:tc>
        <w:tc>
          <w:tcPr>
            <w:tcW w:w="500" w:type="dxa"/>
            <w:tcBorders>
              <w:top w:val="nil"/>
              <w:left w:val="nil"/>
              <w:bottom w:val="single" w:sz="8" w:space="0" w:color="auto"/>
              <w:right w:val="single" w:sz="4" w:space="0" w:color="auto"/>
            </w:tcBorders>
            <w:shd w:val="clear" w:color="auto" w:fill="F2F2F2" w:themeFill="background1" w:themeFillShade="F2"/>
            <w:noWrap/>
            <w:vAlign w:val="center"/>
            <w:hideMark/>
          </w:tcPr>
          <w:p w:rsidR="00461B54" w:rsidRPr="00844DF6" w:rsidRDefault="00461B54" w:rsidP="00712E59">
            <w:pPr>
              <w:spacing w:before="120" w:after="120"/>
              <w:jc w:val="center"/>
              <w:rPr>
                <w:color w:val="FFC000"/>
                <w:sz w:val="22"/>
                <w:szCs w:val="22"/>
              </w:rPr>
            </w:pPr>
            <w:r w:rsidRPr="00844DF6">
              <w:rPr>
                <w:color w:val="FFC000"/>
                <w:sz w:val="22"/>
                <w:szCs w:val="22"/>
              </w:rPr>
              <w:t>0</w:t>
            </w:r>
          </w:p>
        </w:tc>
        <w:tc>
          <w:tcPr>
            <w:tcW w:w="500" w:type="dxa"/>
            <w:tcBorders>
              <w:top w:val="nil"/>
              <w:left w:val="nil"/>
              <w:bottom w:val="single" w:sz="8" w:space="0" w:color="auto"/>
              <w:right w:val="nil"/>
            </w:tcBorders>
            <w:shd w:val="clear" w:color="auto" w:fill="F2F2F2" w:themeFill="background1" w:themeFillShade="F2"/>
            <w:noWrap/>
            <w:vAlign w:val="center"/>
            <w:hideMark/>
          </w:tcPr>
          <w:p w:rsidR="00461B54" w:rsidRPr="00844DF6" w:rsidRDefault="00461B54" w:rsidP="00712E59">
            <w:pPr>
              <w:spacing w:before="120" w:after="120"/>
              <w:jc w:val="center"/>
              <w:rPr>
                <w:color w:val="00B050"/>
                <w:sz w:val="22"/>
                <w:szCs w:val="22"/>
              </w:rPr>
            </w:pPr>
            <w:r w:rsidRPr="00844DF6">
              <w:rPr>
                <w:color w:val="00B050"/>
                <w:sz w:val="22"/>
                <w:szCs w:val="22"/>
              </w:rPr>
              <w:t>0</w:t>
            </w:r>
          </w:p>
        </w:tc>
        <w:tc>
          <w:tcPr>
            <w:tcW w:w="1208" w:type="dxa"/>
            <w:tcBorders>
              <w:top w:val="nil"/>
              <w:left w:val="single" w:sz="8" w:space="0" w:color="auto"/>
              <w:bottom w:val="single" w:sz="8" w:space="0" w:color="auto"/>
              <w:right w:val="single" w:sz="8" w:space="0" w:color="auto"/>
            </w:tcBorders>
            <w:shd w:val="clear" w:color="auto" w:fill="auto"/>
            <w:noWrap/>
            <w:vAlign w:val="center"/>
            <w:hideMark/>
          </w:tcPr>
          <w:p w:rsidR="00461B54" w:rsidRPr="00844DF6" w:rsidRDefault="00461B54" w:rsidP="00712E59">
            <w:pPr>
              <w:spacing w:before="120" w:after="120"/>
              <w:jc w:val="center"/>
              <w:rPr>
                <w:b/>
                <w:sz w:val="22"/>
                <w:szCs w:val="22"/>
              </w:rPr>
            </w:pPr>
            <w:r w:rsidRPr="00844DF6">
              <w:rPr>
                <w:b/>
                <w:sz w:val="22"/>
                <w:szCs w:val="22"/>
              </w:rPr>
              <w:t>93</w:t>
            </w:r>
          </w:p>
        </w:tc>
      </w:tr>
      <w:tr w:rsidR="00461B54" w:rsidRPr="00844DF6" w:rsidTr="00712E59">
        <w:trPr>
          <w:trHeight w:val="300"/>
        </w:trPr>
        <w:tc>
          <w:tcPr>
            <w:tcW w:w="2280" w:type="dxa"/>
            <w:tcBorders>
              <w:top w:val="nil"/>
              <w:left w:val="single" w:sz="8" w:space="0" w:color="auto"/>
              <w:bottom w:val="single" w:sz="8" w:space="0" w:color="auto"/>
              <w:right w:val="single" w:sz="8" w:space="0" w:color="auto"/>
            </w:tcBorders>
            <w:shd w:val="clear" w:color="000000" w:fill="FDE9D9"/>
            <w:vAlign w:val="center"/>
            <w:hideMark/>
          </w:tcPr>
          <w:p w:rsidR="00461B54" w:rsidRPr="00844DF6" w:rsidRDefault="00461B54" w:rsidP="00712E59">
            <w:pPr>
              <w:spacing w:before="120" w:after="120"/>
              <w:jc w:val="center"/>
              <w:rPr>
                <w:b/>
                <w:bCs/>
                <w:color w:val="000000"/>
                <w:sz w:val="22"/>
                <w:szCs w:val="22"/>
              </w:rPr>
            </w:pPr>
            <w:r w:rsidRPr="00844DF6">
              <w:rPr>
                <w:b/>
                <w:bCs/>
                <w:color w:val="000000"/>
                <w:sz w:val="22"/>
                <w:szCs w:val="22"/>
              </w:rPr>
              <w:t>Total:</w:t>
            </w:r>
          </w:p>
        </w:tc>
        <w:tc>
          <w:tcPr>
            <w:tcW w:w="1500" w:type="dxa"/>
            <w:gridSpan w:val="3"/>
            <w:tcBorders>
              <w:top w:val="nil"/>
              <w:left w:val="nil"/>
              <w:bottom w:val="single" w:sz="8" w:space="0" w:color="auto"/>
              <w:right w:val="single" w:sz="8" w:space="0" w:color="000000"/>
            </w:tcBorders>
            <w:shd w:val="clear" w:color="auto" w:fill="F2F2F2" w:themeFill="background1" w:themeFillShade="F2"/>
            <w:vAlign w:val="center"/>
            <w:hideMark/>
          </w:tcPr>
          <w:p w:rsidR="00461B54" w:rsidRPr="00844DF6" w:rsidRDefault="00461B54" w:rsidP="00712E59">
            <w:pPr>
              <w:spacing w:before="120" w:after="120"/>
              <w:jc w:val="center"/>
              <w:rPr>
                <w:bCs/>
                <w:color w:val="000000"/>
                <w:sz w:val="22"/>
                <w:szCs w:val="22"/>
              </w:rPr>
            </w:pPr>
            <w:r w:rsidRPr="00844DF6">
              <w:rPr>
                <w:bCs/>
                <w:color w:val="000000"/>
                <w:sz w:val="22"/>
                <w:szCs w:val="22"/>
              </w:rPr>
              <w:t>24</w:t>
            </w:r>
          </w:p>
        </w:tc>
        <w:tc>
          <w:tcPr>
            <w:tcW w:w="1500" w:type="dxa"/>
            <w:gridSpan w:val="3"/>
            <w:tcBorders>
              <w:top w:val="nil"/>
              <w:left w:val="nil"/>
              <w:bottom w:val="single" w:sz="8" w:space="0" w:color="auto"/>
              <w:right w:val="single" w:sz="8" w:space="0" w:color="000000"/>
            </w:tcBorders>
            <w:shd w:val="clear" w:color="auto" w:fill="FFFFFF" w:themeFill="background1"/>
            <w:vAlign w:val="center"/>
            <w:hideMark/>
          </w:tcPr>
          <w:p w:rsidR="00461B54" w:rsidRPr="00844DF6" w:rsidRDefault="00461B54" w:rsidP="00712E59">
            <w:pPr>
              <w:spacing w:before="120" w:after="120"/>
              <w:jc w:val="center"/>
              <w:rPr>
                <w:b/>
                <w:bCs/>
                <w:color w:val="000000"/>
                <w:sz w:val="22"/>
                <w:szCs w:val="22"/>
              </w:rPr>
            </w:pPr>
            <w:r w:rsidRPr="00844DF6">
              <w:rPr>
                <w:b/>
                <w:bCs/>
                <w:color w:val="000000"/>
                <w:sz w:val="22"/>
                <w:szCs w:val="22"/>
              </w:rPr>
              <w:t>87</w:t>
            </w:r>
          </w:p>
        </w:tc>
        <w:tc>
          <w:tcPr>
            <w:tcW w:w="1500" w:type="dxa"/>
            <w:gridSpan w:val="3"/>
            <w:tcBorders>
              <w:top w:val="nil"/>
              <w:left w:val="nil"/>
              <w:bottom w:val="single" w:sz="8" w:space="0" w:color="auto"/>
              <w:right w:val="single" w:sz="8" w:space="0" w:color="000000"/>
            </w:tcBorders>
            <w:shd w:val="clear" w:color="auto" w:fill="F2F2F2" w:themeFill="background1" w:themeFillShade="F2"/>
            <w:vAlign w:val="center"/>
            <w:hideMark/>
          </w:tcPr>
          <w:p w:rsidR="00461B54" w:rsidRPr="00844DF6" w:rsidRDefault="00461B54" w:rsidP="00712E59">
            <w:pPr>
              <w:spacing w:before="120" w:after="120"/>
              <w:jc w:val="center"/>
              <w:rPr>
                <w:bCs/>
                <w:color w:val="000000"/>
                <w:sz w:val="22"/>
                <w:szCs w:val="22"/>
              </w:rPr>
            </w:pPr>
            <w:r w:rsidRPr="00844DF6">
              <w:rPr>
                <w:bCs/>
                <w:color w:val="000000"/>
                <w:sz w:val="22"/>
                <w:szCs w:val="22"/>
              </w:rPr>
              <w:t>0</w:t>
            </w:r>
          </w:p>
        </w:tc>
        <w:tc>
          <w:tcPr>
            <w:tcW w:w="1500" w:type="dxa"/>
            <w:gridSpan w:val="3"/>
            <w:tcBorders>
              <w:top w:val="nil"/>
              <w:left w:val="nil"/>
              <w:bottom w:val="single" w:sz="8" w:space="0" w:color="auto"/>
              <w:right w:val="single" w:sz="8" w:space="0" w:color="000000"/>
            </w:tcBorders>
            <w:shd w:val="clear" w:color="auto" w:fill="F2F2F2" w:themeFill="background1" w:themeFillShade="F2"/>
            <w:vAlign w:val="center"/>
            <w:hideMark/>
          </w:tcPr>
          <w:p w:rsidR="00461B54" w:rsidRPr="00844DF6" w:rsidRDefault="00461B54" w:rsidP="00712E59">
            <w:pPr>
              <w:spacing w:before="120" w:after="120"/>
              <w:jc w:val="center"/>
              <w:rPr>
                <w:bCs/>
                <w:color w:val="000000"/>
                <w:sz w:val="22"/>
                <w:szCs w:val="22"/>
              </w:rPr>
            </w:pPr>
            <w:r w:rsidRPr="00844DF6">
              <w:rPr>
                <w:bCs/>
                <w:color w:val="000000"/>
                <w:sz w:val="22"/>
                <w:szCs w:val="22"/>
              </w:rPr>
              <w:t>0</w:t>
            </w:r>
          </w:p>
        </w:tc>
        <w:tc>
          <w:tcPr>
            <w:tcW w:w="1208" w:type="dxa"/>
            <w:tcBorders>
              <w:top w:val="nil"/>
              <w:left w:val="nil"/>
              <w:bottom w:val="single" w:sz="8" w:space="0" w:color="auto"/>
              <w:right w:val="single" w:sz="8" w:space="0" w:color="auto"/>
            </w:tcBorders>
            <w:shd w:val="clear" w:color="000000" w:fill="FDE9D9"/>
            <w:vAlign w:val="center"/>
            <w:hideMark/>
          </w:tcPr>
          <w:p w:rsidR="00461B54" w:rsidRPr="00844DF6" w:rsidRDefault="00461B54" w:rsidP="00712E59">
            <w:pPr>
              <w:spacing w:before="120" w:after="120"/>
              <w:jc w:val="center"/>
              <w:rPr>
                <w:b/>
                <w:bCs/>
                <w:sz w:val="22"/>
                <w:szCs w:val="22"/>
              </w:rPr>
            </w:pPr>
            <w:r w:rsidRPr="00844DF6">
              <w:rPr>
                <w:b/>
                <w:bCs/>
                <w:sz w:val="22"/>
                <w:szCs w:val="22"/>
              </w:rPr>
              <w:t>111</w:t>
            </w:r>
          </w:p>
        </w:tc>
      </w:tr>
    </w:tbl>
    <w:p w:rsidR="00461B54" w:rsidRPr="00844DF6" w:rsidRDefault="00461B54" w:rsidP="00461B54">
      <w:pPr>
        <w:ind w:left="720"/>
        <w:jc w:val="both"/>
        <w:rPr>
          <w:b/>
          <w:sz w:val="22"/>
          <w:szCs w:val="22"/>
        </w:rPr>
      </w:pPr>
    </w:p>
    <w:p w:rsidR="00461B54" w:rsidRPr="00844DF6" w:rsidRDefault="00461B54" w:rsidP="00461B54">
      <w:pPr>
        <w:jc w:val="center"/>
        <w:rPr>
          <w:b/>
          <w:sz w:val="20"/>
          <w:szCs w:val="20"/>
        </w:rPr>
      </w:pPr>
      <w:r w:rsidRPr="00844DF6">
        <w:rPr>
          <w:sz w:val="22"/>
          <w:szCs w:val="20"/>
        </w:rPr>
        <w:t>KEY:</w:t>
      </w:r>
      <w:r w:rsidRPr="00844DF6">
        <w:rPr>
          <w:sz w:val="22"/>
          <w:szCs w:val="20"/>
        </w:rPr>
        <w:tab/>
      </w:r>
      <w:r w:rsidRPr="00844DF6">
        <w:rPr>
          <w:b/>
          <w:color w:val="FF0000"/>
          <w:sz w:val="20"/>
          <w:szCs w:val="20"/>
        </w:rPr>
        <w:t>RED - Major (</w:t>
      </w:r>
      <w:proofErr w:type="spellStart"/>
      <w:r w:rsidRPr="00844DF6">
        <w:rPr>
          <w:b/>
          <w:color w:val="FF0000"/>
          <w:sz w:val="20"/>
          <w:szCs w:val="20"/>
        </w:rPr>
        <w:t>SoPS</w:t>
      </w:r>
      <w:proofErr w:type="spellEnd"/>
      <w:r w:rsidRPr="00844DF6">
        <w:rPr>
          <w:b/>
          <w:color w:val="FF0000"/>
          <w:sz w:val="20"/>
          <w:szCs w:val="20"/>
        </w:rPr>
        <w:t>)</w:t>
      </w:r>
      <w:r w:rsidRPr="00844DF6">
        <w:rPr>
          <w:b/>
          <w:sz w:val="20"/>
          <w:szCs w:val="20"/>
        </w:rPr>
        <w:tab/>
      </w:r>
      <w:r w:rsidRPr="00844DF6">
        <w:rPr>
          <w:b/>
          <w:sz w:val="20"/>
          <w:szCs w:val="20"/>
        </w:rPr>
        <w:tab/>
      </w:r>
      <w:r w:rsidRPr="00844DF6">
        <w:rPr>
          <w:b/>
          <w:color w:val="FFC000"/>
          <w:sz w:val="20"/>
          <w:szCs w:val="20"/>
        </w:rPr>
        <w:t>AMBER – Moderate</w:t>
      </w:r>
      <w:r w:rsidRPr="00844DF6">
        <w:rPr>
          <w:b/>
          <w:sz w:val="20"/>
          <w:szCs w:val="20"/>
        </w:rPr>
        <w:tab/>
      </w:r>
      <w:r w:rsidRPr="00844DF6">
        <w:rPr>
          <w:b/>
          <w:sz w:val="20"/>
          <w:szCs w:val="20"/>
        </w:rPr>
        <w:tab/>
      </w:r>
      <w:r w:rsidRPr="00844DF6">
        <w:rPr>
          <w:b/>
          <w:color w:val="00B050"/>
          <w:sz w:val="20"/>
          <w:szCs w:val="20"/>
        </w:rPr>
        <w:t>GREEN – Minor</w:t>
      </w:r>
    </w:p>
    <w:p w:rsidR="00461B54" w:rsidRPr="00844DF6" w:rsidRDefault="00461B54" w:rsidP="00461B54">
      <w:pPr>
        <w:jc w:val="both"/>
        <w:rPr>
          <w:b/>
        </w:rPr>
      </w:pPr>
    </w:p>
    <w:p w:rsidR="00461B54" w:rsidRPr="00844DF6" w:rsidRDefault="00461B54" w:rsidP="00461B54">
      <w:pPr>
        <w:jc w:val="both"/>
        <w:rPr>
          <w:b/>
        </w:rPr>
      </w:pPr>
    </w:p>
    <w:p w:rsidR="00461B54" w:rsidRPr="00844DF6" w:rsidRDefault="00461B54" w:rsidP="00461B54">
      <w:pPr>
        <w:jc w:val="both"/>
        <w:rPr>
          <w:b/>
          <w:sz w:val="22"/>
          <w:szCs w:val="22"/>
        </w:rPr>
      </w:pPr>
      <w:r w:rsidRPr="00844DF6">
        <w:rPr>
          <w:b/>
          <w:sz w:val="22"/>
          <w:szCs w:val="22"/>
        </w:rPr>
        <w:t>Q2 RAL Incidents</w:t>
      </w:r>
    </w:p>
    <w:p w:rsidR="00461B54" w:rsidRPr="00844DF6" w:rsidRDefault="00461B54" w:rsidP="00461B54">
      <w:pPr>
        <w:jc w:val="both"/>
        <w:rPr>
          <w:color w:val="FF0000"/>
          <w:sz w:val="22"/>
          <w:szCs w:val="22"/>
        </w:rPr>
      </w:pPr>
    </w:p>
    <w:p w:rsidR="00461B54" w:rsidRPr="00844DF6" w:rsidRDefault="00461B54" w:rsidP="00461B54">
      <w:pPr>
        <w:spacing w:after="120"/>
        <w:jc w:val="both"/>
        <w:rPr>
          <w:sz w:val="22"/>
          <w:szCs w:val="22"/>
        </w:rPr>
      </w:pPr>
      <w:r w:rsidRPr="00844DF6">
        <w:rPr>
          <w:b/>
          <w:sz w:val="22"/>
          <w:szCs w:val="22"/>
        </w:rPr>
        <w:t>1.1</w:t>
      </w:r>
      <w:r w:rsidRPr="00844DF6">
        <w:rPr>
          <w:sz w:val="22"/>
          <w:szCs w:val="22"/>
        </w:rPr>
        <w:tab/>
      </w:r>
      <w:r w:rsidRPr="00844DF6">
        <w:rPr>
          <w:sz w:val="22"/>
          <w:szCs w:val="22"/>
          <w:u w:val="single"/>
        </w:rPr>
        <w:t>RIDDOR</w:t>
      </w:r>
      <w:r w:rsidRPr="00844DF6">
        <w:rPr>
          <w:sz w:val="22"/>
          <w:szCs w:val="22"/>
        </w:rPr>
        <w:t xml:space="preserve"> </w:t>
      </w:r>
    </w:p>
    <w:p w:rsidR="00461B54" w:rsidRPr="00844DF6" w:rsidRDefault="00461B54" w:rsidP="00461B54">
      <w:pPr>
        <w:jc w:val="both"/>
        <w:rPr>
          <w:color w:val="FF0000"/>
          <w:sz w:val="22"/>
          <w:szCs w:val="22"/>
        </w:rPr>
      </w:pPr>
      <w:r w:rsidRPr="00844DF6">
        <w:rPr>
          <w:sz w:val="22"/>
          <w:szCs w:val="22"/>
        </w:rPr>
        <w:t>There were no RIDDOR reportable incidents or dangerous occurrences in Q2.</w:t>
      </w:r>
    </w:p>
    <w:p w:rsidR="00461B54" w:rsidRPr="00844DF6" w:rsidRDefault="00461B54" w:rsidP="00461B54">
      <w:pPr>
        <w:jc w:val="both"/>
        <w:rPr>
          <w:color w:val="FF0000"/>
          <w:sz w:val="22"/>
          <w:szCs w:val="22"/>
        </w:rPr>
      </w:pPr>
    </w:p>
    <w:p w:rsidR="00461B54" w:rsidRPr="00844DF6" w:rsidRDefault="00461B54" w:rsidP="00461B54">
      <w:pPr>
        <w:spacing w:after="120"/>
        <w:jc w:val="both"/>
        <w:rPr>
          <w:sz w:val="22"/>
          <w:szCs w:val="22"/>
          <w:u w:val="single"/>
        </w:rPr>
      </w:pPr>
      <w:r w:rsidRPr="00844DF6">
        <w:rPr>
          <w:b/>
          <w:sz w:val="22"/>
          <w:szCs w:val="22"/>
        </w:rPr>
        <w:t>1.2</w:t>
      </w:r>
      <w:r w:rsidRPr="00844DF6">
        <w:rPr>
          <w:sz w:val="22"/>
          <w:szCs w:val="22"/>
        </w:rPr>
        <w:tab/>
      </w:r>
      <w:r w:rsidRPr="00844DF6">
        <w:rPr>
          <w:sz w:val="22"/>
          <w:szCs w:val="22"/>
          <w:u w:val="single"/>
        </w:rPr>
        <w:t>Major Incidents</w:t>
      </w:r>
      <w:r w:rsidRPr="00844DF6">
        <w:rPr>
          <w:sz w:val="22"/>
          <w:szCs w:val="22"/>
        </w:rPr>
        <w:t xml:space="preserve"> </w:t>
      </w:r>
    </w:p>
    <w:p w:rsidR="00461B54" w:rsidRPr="00844DF6" w:rsidRDefault="00461B54" w:rsidP="00461B54">
      <w:pPr>
        <w:jc w:val="both"/>
        <w:rPr>
          <w:sz w:val="22"/>
          <w:szCs w:val="22"/>
        </w:rPr>
      </w:pPr>
      <w:r w:rsidRPr="00844DF6">
        <w:rPr>
          <w:sz w:val="22"/>
          <w:szCs w:val="22"/>
        </w:rPr>
        <w:t>There were no major incidents reported at RAL in this period.</w:t>
      </w:r>
    </w:p>
    <w:p w:rsidR="00461B54" w:rsidRPr="00844DF6" w:rsidRDefault="00461B54" w:rsidP="00461B54">
      <w:pPr>
        <w:jc w:val="both"/>
        <w:rPr>
          <w:sz w:val="22"/>
          <w:szCs w:val="22"/>
        </w:rPr>
      </w:pPr>
    </w:p>
    <w:p w:rsidR="00461B54" w:rsidRPr="00844DF6" w:rsidRDefault="00461B54" w:rsidP="00461B54">
      <w:pPr>
        <w:jc w:val="both"/>
        <w:rPr>
          <w:sz w:val="22"/>
          <w:szCs w:val="22"/>
          <w:u w:val="single"/>
        </w:rPr>
      </w:pPr>
      <w:r w:rsidRPr="00844DF6">
        <w:rPr>
          <w:b/>
          <w:sz w:val="22"/>
          <w:szCs w:val="22"/>
        </w:rPr>
        <w:t>1.3</w:t>
      </w:r>
      <w:r w:rsidRPr="00844DF6">
        <w:rPr>
          <w:sz w:val="22"/>
          <w:szCs w:val="22"/>
        </w:rPr>
        <w:tab/>
      </w:r>
      <w:r w:rsidRPr="00844DF6">
        <w:rPr>
          <w:sz w:val="22"/>
          <w:szCs w:val="22"/>
          <w:u w:val="single"/>
        </w:rPr>
        <w:t>COVID-19 incidents</w:t>
      </w:r>
    </w:p>
    <w:p w:rsidR="00461B54" w:rsidRPr="00844DF6" w:rsidRDefault="00461B54" w:rsidP="00461B54">
      <w:pPr>
        <w:jc w:val="both"/>
        <w:rPr>
          <w:sz w:val="22"/>
          <w:szCs w:val="22"/>
          <w:u w:val="single"/>
        </w:rPr>
      </w:pPr>
    </w:p>
    <w:p w:rsidR="00461B54" w:rsidRPr="00844DF6" w:rsidRDefault="00461B54" w:rsidP="00461B54">
      <w:pPr>
        <w:spacing w:after="120"/>
        <w:jc w:val="both"/>
        <w:rPr>
          <w:sz w:val="22"/>
          <w:szCs w:val="22"/>
        </w:rPr>
      </w:pPr>
      <w:r w:rsidRPr="00844DF6">
        <w:rPr>
          <w:sz w:val="22"/>
          <w:szCs w:val="22"/>
        </w:rPr>
        <w:t>28 COVID-19 related incidents were reported at RAL in Q2. These incidents can be broken down broadly as follows:</w:t>
      </w:r>
    </w:p>
    <w:p w:rsidR="00461B54" w:rsidRPr="00844DF6" w:rsidRDefault="00461B54" w:rsidP="00844DF6">
      <w:pPr>
        <w:pStyle w:val="ListParagraph"/>
        <w:numPr>
          <w:ilvl w:val="0"/>
          <w:numId w:val="4"/>
        </w:numPr>
        <w:jc w:val="both"/>
        <w:rPr>
          <w:rFonts w:ascii="Arial" w:hAnsi="Arial" w:cs="Arial"/>
        </w:rPr>
      </w:pPr>
      <w:r w:rsidRPr="00844DF6">
        <w:rPr>
          <w:rFonts w:ascii="Arial" w:hAnsi="Arial" w:cs="Arial"/>
        </w:rPr>
        <w:t>13 x Breaches in access arrangements</w:t>
      </w:r>
    </w:p>
    <w:p w:rsidR="00461B54" w:rsidRPr="00844DF6" w:rsidRDefault="00461B54" w:rsidP="00844DF6">
      <w:pPr>
        <w:pStyle w:val="ListParagraph"/>
        <w:numPr>
          <w:ilvl w:val="0"/>
          <w:numId w:val="4"/>
        </w:numPr>
        <w:jc w:val="both"/>
        <w:rPr>
          <w:rFonts w:ascii="Arial" w:hAnsi="Arial" w:cs="Arial"/>
        </w:rPr>
      </w:pPr>
      <w:r w:rsidRPr="00844DF6">
        <w:rPr>
          <w:rFonts w:ascii="Arial" w:hAnsi="Arial" w:cs="Arial"/>
        </w:rPr>
        <w:t>6 x Failures to comply with COVID protocols</w:t>
      </w:r>
    </w:p>
    <w:p w:rsidR="00461B54" w:rsidRPr="00844DF6" w:rsidRDefault="00461B54" w:rsidP="00844DF6">
      <w:pPr>
        <w:pStyle w:val="ListParagraph"/>
        <w:numPr>
          <w:ilvl w:val="0"/>
          <w:numId w:val="4"/>
        </w:numPr>
        <w:jc w:val="both"/>
        <w:rPr>
          <w:rFonts w:ascii="Arial" w:hAnsi="Arial" w:cs="Arial"/>
        </w:rPr>
      </w:pPr>
      <w:r w:rsidRPr="00844DF6">
        <w:rPr>
          <w:rFonts w:ascii="Arial" w:hAnsi="Arial" w:cs="Arial"/>
        </w:rPr>
        <w:t>5 x Social distancing infractions</w:t>
      </w:r>
    </w:p>
    <w:p w:rsidR="00461B54" w:rsidRPr="00844DF6" w:rsidRDefault="00461B54" w:rsidP="00844DF6">
      <w:pPr>
        <w:pStyle w:val="ListParagraph"/>
        <w:numPr>
          <w:ilvl w:val="0"/>
          <w:numId w:val="4"/>
        </w:numPr>
        <w:jc w:val="both"/>
        <w:rPr>
          <w:rFonts w:ascii="Arial" w:hAnsi="Arial" w:cs="Arial"/>
        </w:rPr>
      </w:pPr>
      <w:r w:rsidRPr="00844DF6">
        <w:rPr>
          <w:rFonts w:ascii="Arial" w:hAnsi="Arial" w:cs="Arial"/>
        </w:rPr>
        <w:t xml:space="preserve">2 x Hygiene-related issues </w:t>
      </w:r>
    </w:p>
    <w:p w:rsidR="00461B54" w:rsidRPr="00844DF6" w:rsidRDefault="00461B54" w:rsidP="00844DF6">
      <w:pPr>
        <w:pStyle w:val="ListParagraph"/>
        <w:numPr>
          <w:ilvl w:val="0"/>
          <w:numId w:val="4"/>
        </w:numPr>
        <w:jc w:val="both"/>
        <w:rPr>
          <w:rFonts w:ascii="Arial" w:hAnsi="Arial" w:cs="Arial"/>
        </w:rPr>
      </w:pPr>
      <w:r w:rsidRPr="00844DF6">
        <w:rPr>
          <w:rFonts w:ascii="Arial" w:hAnsi="Arial" w:cs="Arial"/>
        </w:rPr>
        <w:t>1 x Injury attributed to COVID activity</w:t>
      </w:r>
    </w:p>
    <w:p w:rsidR="00461B54" w:rsidRPr="00844DF6" w:rsidRDefault="00461B54" w:rsidP="00844DF6">
      <w:pPr>
        <w:pStyle w:val="ListParagraph"/>
        <w:numPr>
          <w:ilvl w:val="0"/>
          <w:numId w:val="4"/>
        </w:numPr>
        <w:jc w:val="both"/>
        <w:rPr>
          <w:rFonts w:ascii="Arial" w:hAnsi="Arial" w:cs="Arial"/>
        </w:rPr>
      </w:pPr>
      <w:r w:rsidRPr="00844DF6">
        <w:rPr>
          <w:rFonts w:ascii="Arial" w:hAnsi="Arial" w:cs="Arial"/>
        </w:rPr>
        <w:t xml:space="preserve">1 x </w:t>
      </w:r>
      <w:proofErr w:type="gramStart"/>
      <w:r w:rsidRPr="00844DF6">
        <w:rPr>
          <w:rFonts w:ascii="Arial" w:hAnsi="Arial" w:cs="Arial"/>
        </w:rPr>
        <w:t>Possible</w:t>
      </w:r>
      <w:proofErr w:type="gramEnd"/>
      <w:r w:rsidRPr="00844DF6">
        <w:rPr>
          <w:rFonts w:ascii="Arial" w:hAnsi="Arial" w:cs="Arial"/>
        </w:rPr>
        <w:t xml:space="preserve"> case of COVID infection</w:t>
      </w:r>
      <w:r w:rsidRPr="00844DF6">
        <w:t>.</w:t>
      </w:r>
      <w:r w:rsidRPr="00844DF6">
        <w:rPr>
          <w:color w:val="FF0000"/>
        </w:rPr>
        <w:t xml:space="preserve"> </w:t>
      </w:r>
    </w:p>
    <w:p w:rsidR="00461B54" w:rsidRPr="00844DF6" w:rsidRDefault="00461B54" w:rsidP="00461B54">
      <w:pPr>
        <w:jc w:val="both"/>
        <w:rPr>
          <w:sz w:val="22"/>
          <w:szCs w:val="22"/>
        </w:rPr>
      </w:pPr>
    </w:p>
    <w:p w:rsidR="00461B54" w:rsidRPr="00844DF6" w:rsidRDefault="00461B54" w:rsidP="00461B54">
      <w:pPr>
        <w:spacing w:line="276" w:lineRule="auto"/>
        <w:jc w:val="both"/>
        <w:rPr>
          <w:sz w:val="22"/>
          <w:szCs w:val="22"/>
          <w:u w:val="single"/>
        </w:rPr>
      </w:pPr>
      <w:r w:rsidRPr="00844DF6">
        <w:rPr>
          <w:sz w:val="22"/>
          <w:szCs w:val="22"/>
          <w:u w:val="single"/>
        </w:rPr>
        <w:t>Full data available - Y:\STFC SHE Statistics – New format\FY 2020\Q2 report data</w:t>
      </w:r>
    </w:p>
    <w:p w:rsidR="00844DF6" w:rsidRDefault="00844DF6">
      <w:pPr>
        <w:rPr>
          <w:b/>
        </w:rPr>
      </w:pPr>
      <w:r>
        <w:rPr>
          <w:b/>
        </w:rPr>
        <w:br w:type="page"/>
      </w:r>
    </w:p>
    <w:p w:rsidR="006E7DD4" w:rsidRPr="00844DF6" w:rsidRDefault="006E7DD4" w:rsidP="00844DF6">
      <w:pPr>
        <w:pStyle w:val="ListParagraph"/>
        <w:numPr>
          <w:ilvl w:val="0"/>
          <w:numId w:val="2"/>
        </w:numPr>
        <w:ind w:hanging="720"/>
        <w:jc w:val="both"/>
        <w:rPr>
          <w:rFonts w:ascii="Arial" w:hAnsi="Arial" w:cs="Arial"/>
          <w:b/>
          <w:sz w:val="24"/>
          <w:szCs w:val="24"/>
        </w:rPr>
      </w:pPr>
      <w:r w:rsidRPr="00844DF6">
        <w:rPr>
          <w:rFonts w:ascii="Arial" w:hAnsi="Arial" w:cs="Arial"/>
          <w:b/>
          <w:sz w:val="24"/>
          <w:szCs w:val="24"/>
        </w:rPr>
        <w:lastRenderedPageBreak/>
        <w:t xml:space="preserve">Departmental </w:t>
      </w:r>
      <w:r w:rsidR="00631CA6" w:rsidRPr="00844DF6">
        <w:rPr>
          <w:rFonts w:ascii="Arial" w:hAnsi="Arial" w:cs="Arial"/>
          <w:b/>
          <w:sz w:val="24"/>
          <w:szCs w:val="24"/>
        </w:rPr>
        <w:t>H&amp;S Performance</w:t>
      </w:r>
    </w:p>
    <w:p w:rsidR="006E7DD4" w:rsidRPr="00844DF6" w:rsidRDefault="00AB4785" w:rsidP="00FD3C1C">
      <w:pPr>
        <w:rPr>
          <w:i/>
          <w:sz w:val="22"/>
          <w:szCs w:val="22"/>
        </w:rPr>
      </w:pPr>
      <w:proofErr w:type="gramStart"/>
      <w:r w:rsidRPr="00844DF6">
        <w:rPr>
          <w:b/>
          <w:sz w:val="22"/>
          <w:szCs w:val="22"/>
        </w:rPr>
        <w:t>2</w:t>
      </w:r>
      <w:r w:rsidR="000C51E1" w:rsidRPr="00844DF6">
        <w:rPr>
          <w:b/>
          <w:sz w:val="22"/>
          <w:szCs w:val="22"/>
        </w:rPr>
        <w:t>.1</w:t>
      </w:r>
      <w:r w:rsidR="000C51E1" w:rsidRPr="00844DF6">
        <w:rPr>
          <w:b/>
          <w:sz w:val="22"/>
          <w:szCs w:val="22"/>
        </w:rPr>
        <w:tab/>
      </w:r>
      <w:r w:rsidR="005E5786" w:rsidRPr="00844DF6">
        <w:rPr>
          <w:b/>
          <w:sz w:val="22"/>
          <w:szCs w:val="22"/>
        </w:rPr>
        <w:t>SHE</w:t>
      </w:r>
      <w:proofErr w:type="gramEnd"/>
      <w:r w:rsidR="00F80A46" w:rsidRPr="00844DF6">
        <w:rPr>
          <w:b/>
          <w:sz w:val="22"/>
          <w:szCs w:val="22"/>
        </w:rPr>
        <w:t xml:space="preserve"> </w:t>
      </w:r>
      <w:r w:rsidR="00C02689" w:rsidRPr="00844DF6">
        <w:rPr>
          <w:b/>
          <w:sz w:val="22"/>
          <w:szCs w:val="22"/>
        </w:rPr>
        <w:t>Incidents</w:t>
      </w:r>
      <w:r w:rsidR="006E7DD4" w:rsidRPr="00844DF6">
        <w:rPr>
          <w:b/>
          <w:sz w:val="22"/>
          <w:szCs w:val="22"/>
        </w:rPr>
        <w:t xml:space="preserve"> </w:t>
      </w:r>
    </w:p>
    <w:p w:rsidR="00631CA6" w:rsidRPr="00844DF6" w:rsidRDefault="00631CA6" w:rsidP="00FD3C1C">
      <w:pPr>
        <w:rPr>
          <w:i/>
          <w:sz w:val="22"/>
          <w:szCs w:val="22"/>
        </w:rPr>
      </w:pPr>
    </w:p>
    <w:p w:rsidR="00265C91" w:rsidRPr="00844DF6" w:rsidRDefault="00EA0C78" w:rsidP="00FD3C1C">
      <w:pPr>
        <w:rPr>
          <w:sz w:val="22"/>
          <w:szCs w:val="22"/>
        </w:rPr>
      </w:pPr>
      <w:r w:rsidRPr="00844DF6">
        <w:rPr>
          <w:sz w:val="22"/>
          <w:szCs w:val="22"/>
        </w:rPr>
        <w:t>Types</w:t>
      </w:r>
      <w:r w:rsidR="00CB1FA0" w:rsidRPr="00844DF6">
        <w:rPr>
          <w:sz w:val="22"/>
          <w:szCs w:val="22"/>
        </w:rPr>
        <w:t xml:space="preserve"> of incident reported</w:t>
      </w:r>
      <w:r w:rsidR="00461B54" w:rsidRPr="00844DF6">
        <w:rPr>
          <w:sz w:val="22"/>
          <w:szCs w:val="22"/>
        </w:rPr>
        <w:t xml:space="preserve"> in Q2</w:t>
      </w:r>
      <w:r w:rsidR="00E81CA5" w:rsidRPr="00844DF6">
        <w:rPr>
          <w:sz w:val="22"/>
          <w:szCs w:val="22"/>
        </w:rPr>
        <w:t xml:space="preserve"> (from data download of</w:t>
      </w:r>
      <w:r w:rsidR="00461B54" w:rsidRPr="00844DF6">
        <w:rPr>
          <w:sz w:val="22"/>
          <w:szCs w:val="22"/>
        </w:rPr>
        <w:t xml:space="preserve"> 15 October</w:t>
      </w:r>
      <w:r w:rsidR="001F0901" w:rsidRPr="00844DF6">
        <w:rPr>
          <w:sz w:val="22"/>
          <w:szCs w:val="22"/>
        </w:rPr>
        <w:t xml:space="preserve"> 20</w:t>
      </w:r>
      <w:r w:rsidR="00E81CA5" w:rsidRPr="00844DF6">
        <w:rPr>
          <w:sz w:val="22"/>
          <w:szCs w:val="22"/>
        </w:rPr>
        <w:t>20</w:t>
      </w:r>
      <w:r w:rsidR="001F0901" w:rsidRPr="00844DF6">
        <w:rPr>
          <w:sz w:val="22"/>
          <w:szCs w:val="22"/>
        </w:rPr>
        <w:t>)</w:t>
      </w:r>
    </w:p>
    <w:p w:rsidR="000C51E1" w:rsidRPr="00844DF6" w:rsidRDefault="000C51E1" w:rsidP="00FD3C1C">
      <w:pPr>
        <w:rPr>
          <w:sz w:val="22"/>
          <w:szCs w:val="20"/>
        </w:rPr>
      </w:pPr>
    </w:p>
    <w:p w:rsidR="00AB4785" w:rsidRPr="00844DF6" w:rsidRDefault="00B6650D" w:rsidP="00FD3C1C">
      <w:pPr>
        <w:rPr>
          <w:b/>
        </w:rPr>
      </w:pPr>
      <w:r w:rsidRPr="00844DF6">
        <w:rPr>
          <w:b/>
        </w:rPr>
        <w:t>PPD</w:t>
      </w:r>
    </w:p>
    <w:p w:rsidR="00AB4785" w:rsidRPr="00844DF6" w:rsidRDefault="00AB4785" w:rsidP="00FD3C1C">
      <w:pPr>
        <w:rPr>
          <w:sz w:val="22"/>
          <w:szCs w:val="20"/>
        </w:rPr>
      </w:pPr>
    </w:p>
    <w:tbl>
      <w:tblPr>
        <w:tblW w:w="10020" w:type="dxa"/>
        <w:tblLook w:val="04A0" w:firstRow="1" w:lastRow="0" w:firstColumn="1" w:lastColumn="0" w:noHBand="0" w:noVBand="1"/>
      </w:tblPr>
      <w:tblGrid>
        <w:gridCol w:w="2300"/>
        <w:gridCol w:w="520"/>
        <w:gridCol w:w="520"/>
        <w:gridCol w:w="520"/>
        <w:gridCol w:w="520"/>
        <w:gridCol w:w="520"/>
        <w:gridCol w:w="520"/>
        <w:gridCol w:w="524"/>
        <w:gridCol w:w="518"/>
        <w:gridCol w:w="518"/>
        <w:gridCol w:w="524"/>
        <w:gridCol w:w="518"/>
        <w:gridCol w:w="518"/>
        <w:gridCol w:w="1480"/>
      </w:tblGrid>
      <w:tr w:rsidR="00461B54" w:rsidRPr="00844DF6" w:rsidTr="00461B54">
        <w:trPr>
          <w:trHeight w:val="300"/>
        </w:trPr>
        <w:tc>
          <w:tcPr>
            <w:tcW w:w="2300" w:type="dxa"/>
            <w:vMerge w:val="restart"/>
            <w:tcBorders>
              <w:top w:val="single" w:sz="8" w:space="0" w:color="auto"/>
              <w:left w:val="single" w:sz="8" w:space="0" w:color="auto"/>
              <w:bottom w:val="single" w:sz="8" w:space="0" w:color="000000"/>
              <w:right w:val="single" w:sz="8" w:space="0" w:color="auto"/>
            </w:tcBorders>
            <w:shd w:val="clear" w:color="000000" w:fill="CCECFF"/>
            <w:vAlign w:val="center"/>
            <w:hideMark/>
          </w:tcPr>
          <w:p w:rsidR="00461B54" w:rsidRPr="00844DF6" w:rsidRDefault="00461B54" w:rsidP="00461B54">
            <w:pPr>
              <w:jc w:val="center"/>
              <w:rPr>
                <w:b/>
                <w:bCs/>
                <w:color w:val="000000"/>
                <w:sz w:val="22"/>
                <w:szCs w:val="22"/>
              </w:rPr>
            </w:pPr>
            <w:r w:rsidRPr="00844DF6">
              <w:rPr>
                <w:b/>
                <w:bCs/>
                <w:color w:val="000000"/>
                <w:sz w:val="22"/>
                <w:szCs w:val="22"/>
              </w:rPr>
              <w:t>Category</w:t>
            </w:r>
          </w:p>
        </w:tc>
        <w:tc>
          <w:tcPr>
            <w:tcW w:w="1560" w:type="dxa"/>
            <w:gridSpan w:val="3"/>
            <w:vMerge w:val="restart"/>
            <w:tcBorders>
              <w:top w:val="single" w:sz="8" w:space="0" w:color="auto"/>
              <w:left w:val="single" w:sz="8" w:space="0" w:color="auto"/>
              <w:bottom w:val="single" w:sz="8" w:space="0" w:color="000000"/>
              <w:right w:val="single" w:sz="8" w:space="0" w:color="000000"/>
            </w:tcBorders>
            <w:shd w:val="clear" w:color="000000" w:fill="CCECFF"/>
            <w:vAlign w:val="center"/>
            <w:hideMark/>
          </w:tcPr>
          <w:p w:rsidR="00461B54" w:rsidRPr="00844DF6" w:rsidRDefault="00461B54" w:rsidP="00461B54">
            <w:pPr>
              <w:jc w:val="center"/>
              <w:rPr>
                <w:b/>
                <w:bCs/>
                <w:color w:val="000000"/>
                <w:sz w:val="22"/>
                <w:szCs w:val="22"/>
              </w:rPr>
            </w:pPr>
            <w:r w:rsidRPr="00844DF6">
              <w:rPr>
                <w:b/>
                <w:bCs/>
                <w:color w:val="000000"/>
                <w:sz w:val="22"/>
                <w:szCs w:val="22"/>
              </w:rPr>
              <w:t>Q1</w:t>
            </w:r>
          </w:p>
        </w:tc>
        <w:tc>
          <w:tcPr>
            <w:tcW w:w="1560" w:type="dxa"/>
            <w:gridSpan w:val="3"/>
            <w:vMerge w:val="restart"/>
            <w:tcBorders>
              <w:top w:val="single" w:sz="8" w:space="0" w:color="auto"/>
              <w:left w:val="single" w:sz="8" w:space="0" w:color="auto"/>
              <w:bottom w:val="single" w:sz="8" w:space="0" w:color="000000"/>
              <w:right w:val="single" w:sz="8" w:space="0" w:color="000000"/>
            </w:tcBorders>
            <w:shd w:val="clear" w:color="000000" w:fill="CCECFF"/>
            <w:vAlign w:val="center"/>
            <w:hideMark/>
          </w:tcPr>
          <w:p w:rsidR="00461B54" w:rsidRPr="00844DF6" w:rsidRDefault="00461B54" w:rsidP="00461B54">
            <w:pPr>
              <w:jc w:val="center"/>
              <w:rPr>
                <w:b/>
                <w:bCs/>
                <w:color w:val="000000"/>
                <w:sz w:val="22"/>
                <w:szCs w:val="22"/>
              </w:rPr>
            </w:pPr>
            <w:r w:rsidRPr="00844DF6">
              <w:rPr>
                <w:b/>
                <w:bCs/>
                <w:color w:val="000000"/>
                <w:sz w:val="22"/>
                <w:szCs w:val="22"/>
              </w:rPr>
              <w:t>Q2</w:t>
            </w:r>
          </w:p>
        </w:tc>
        <w:tc>
          <w:tcPr>
            <w:tcW w:w="1560" w:type="dxa"/>
            <w:gridSpan w:val="3"/>
            <w:vMerge w:val="restart"/>
            <w:tcBorders>
              <w:top w:val="single" w:sz="8" w:space="0" w:color="auto"/>
              <w:left w:val="single" w:sz="8" w:space="0" w:color="auto"/>
              <w:bottom w:val="single" w:sz="8" w:space="0" w:color="000000"/>
              <w:right w:val="single" w:sz="8" w:space="0" w:color="000000"/>
            </w:tcBorders>
            <w:shd w:val="clear" w:color="000000" w:fill="CCECFF"/>
            <w:vAlign w:val="center"/>
            <w:hideMark/>
          </w:tcPr>
          <w:p w:rsidR="00461B54" w:rsidRPr="00844DF6" w:rsidRDefault="00461B54" w:rsidP="00461B54">
            <w:pPr>
              <w:jc w:val="center"/>
              <w:rPr>
                <w:b/>
                <w:bCs/>
                <w:color w:val="000000"/>
                <w:sz w:val="22"/>
                <w:szCs w:val="22"/>
              </w:rPr>
            </w:pPr>
            <w:r w:rsidRPr="00844DF6">
              <w:rPr>
                <w:b/>
                <w:bCs/>
                <w:color w:val="000000"/>
                <w:sz w:val="22"/>
                <w:szCs w:val="22"/>
              </w:rPr>
              <w:t>Q3</w:t>
            </w:r>
          </w:p>
        </w:tc>
        <w:tc>
          <w:tcPr>
            <w:tcW w:w="1560" w:type="dxa"/>
            <w:gridSpan w:val="3"/>
            <w:vMerge w:val="restart"/>
            <w:tcBorders>
              <w:top w:val="single" w:sz="8" w:space="0" w:color="auto"/>
              <w:left w:val="single" w:sz="8" w:space="0" w:color="auto"/>
              <w:bottom w:val="single" w:sz="8" w:space="0" w:color="000000"/>
              <w:right w:val="single" w:sz="8" w:space="0" w:color="000000"/>
            </w:tcBorders>
            <w:shd w:val="clear" w:color="000000" w:fill="CCECFF"/>
            <w:vAlign w:val="center"/>
            <w:hideMark/>
          </w:tcPr>
          <w:p w:rsidR="00461B54" w:rsidRPr="00844DF6" w:rsidRDefault="00461B54" w:rsidP="00461B54">
            <w:pPr>
              <w:jc w:val="center"/>
              <w:rPr>
                <w:b/>
                <w:bCs/>
                <w:color w:val="000000"/>
                <w:sz w:val="22"/>
                <w:szCs w:val="22"/>
              </w:rPr>
            </w:pPr>
            <w:r w:rsidRPr="00844DF6">
              <w:rPr>
                <w:b/>
                <w:bCs/>
                <w:color w:val="000000"/>
                <w:sz w:val="22"/>
                <w:szCs w:val="22"/>
              </w:rPr>
              <w:t>Q4</w:t>
            </w:r>
          </w:p>
        </w:tc>
        <w:tc>
          <w:tcPr>
            <w:tcW w:w="1480" w:type="dxa"/>
            <w:vMerge w:val="restart"/>
            <w:tcBorders>
              <w:top w:val="single" w:sz="8" w:space="0" w:color="auto"/>
              <w:left w:val="single" w:sz="8" w:space="0" w:color="auto"/>
              <w:bottom w:val="single" w:sz="8" w:space="0" w:color="000000"/>
              <w:right w:val="single" w:sz="8" w:space="0" w:color="auto"/>
            </w:tcBorders>
            <w:shd w:val="clear" w:color="000000" w:fill="CCECFF"/>
            <w:vAlign w:val="center"/>
            <w:hideMark/>
          </w:tcPr>
          <w:p w:rsidR="00461B54" w:rsidRPr="00844DF6" w:rsidRDefault="00461B54" w:rsidP="00461B54">
            <w:pPr>
              <w:jc w:val="center"/>
              <w:rPr>
                <w:b/>
                <w:bCs/>
                <w:color w:val="000000"/>
                <w:sz w:val="22"/>
                <w:szCs w:val="22"/>
              </w:rPr>
            </w:pPr>
            <w:r w:rsidRPr="00844DF6">
              <w:rPr>
                <w:b/>
                <w:bCs/>
                <w:color w:val="000000"/>
                <w:sz w:val="22"/>
                <w:szCs w:val="22"/>
              </w:rPr>
              <w:t>2020/21 Total</w:t>
            </w:r>
          </w:p>
        </w:tc>
      </w:tr>
      <w:tr w:rsidR="00461B54" w:rsidRPr="00844DF6" w:rsidTr="00461B54">
        <w:trPr>
          <w:trHeight w:val="300"/>
        </w:trPr>
        <w:tc>
          <w:tcPr>
            <w:tcW w:w="2300" w:type="dxa"/>
            <w:vMerge/>
            <w:tcBorders>
              <w:top w:val="single" w:sz="8" w:space="0" w:color="auto"/>
              <w:left w:val="single" w:sz="8" w:space="0" w:color="auto"/>
              <w:bottom w:val="single" w:sz="8" w:space="0" w:color="000000"/>
              <w:right w:val="single" w:sz="8" w:space="0" w:color="auto"/>
            </w:tcBorders>
            <w:vAlign w:val="center"/>
            <w:hideMark/>
          </w:tcPr>
          <w:p w:rsidR="00461B54" w:rsidRPr="00844DF6" w:rsidRDefault="00461B54" w:rsidP="00461B54">
            <w:pPr>
              <w:rPr>
                <w:b/>
                <w:bCs/>
                <w:color w:val="000000"/>
                <w:sz w:val="22"/>
                <w:szCs w:val="22"/>
              </w:rPr>
            </w:pPr>
          </w:p>
        </w:tc>
        <w:tc>
          <w:tcPr>
            <w:tcW w:w="1560" w:type="dxa"/>
            <w:gridSpan w:val="3"/>
            <w:vMerge/>
            <w:tcBorders>
              <w:top w:val="single" w:sz="8" w:space="0" w:color="auto"/>
              <w:left w:val="single" w:sz="8" w:space="0" w:color="auto"/>
              <w:bottom w:val="single" w:sz="8" w:space="0" w:color="000000"/>
              <w:right w:val="single" w:sz="8" w:space="0" w:color="000000"/>
            </w:tcBorders>
            <w:vAlign w:val="center"/>
            <w:hideMark/>
          </w:tcPr>
          <w:p w:rsidR="00461B54" w:rsidRPr="00844DF6" w:rsidRDefault="00461B54" w:rsidP="00461B54">
            <w:pPr>
              <w:rPr>
                <w:b/>
                <w:bCs/>
                <w:color w:val="000000"/>
                <w:sz w:val="22"/>
                <w:szCs w:val="22"/>
              </w:rPr>
            </w:pPr>
          </w:p>
        </w:tc>
        <w:tc>
          <w:tcPr>
            <w:tcW w:w="1560" w:type="dxa"/>
            <w:gridSpan w:val="3"/>
            <w:vMerge/>
            <w:tcBorders>
              <w:top w:val="single" w:sz="8" w:space="0" w:color="auto"/>
              <w:left w:val="single" w:sz="8" w:space="0" w:color="auto"/>
              <w:bottom w:val="single" w:sz="8" w:space="0" w:color="000000"/>
              <w:right w:val="single" w:sz="8" w:space="0" w:color="000000"/>
            </w:tcBorders>
            <w:vAlign w:val="center"/>
            <w:hideMark/>
          </w:tcPr>
          <w:p w:rsidR="00461B54" w:rsidRPr="00844DF6" w:rsidRDefault="00461B54" w:rsidP="00461B54">
            <w:pPr>
              <w:rPr>
                <w:b/>
                <w:bCs/>
                <w:color w:val="000000"/>
                <w:sz w:val="22"/>
                <w:szCs w:val="22"/>
              </w:rPr>
            </w:pPr>
          </w:p>
        </w:tc>
        <w:tc>
          <w:tcPr>
            <w:tcW w:w="1560" w:type="dxa"/>
            <w:gridSpan w:val="3"/>
            <w:vMerge/>
            <w:tcBorders>
              <w:top w:val="single" w:sz="8" w:space="0" w:color="auto"/>
              <w:left w:val="single" w:sz="8" w:space="0" w:color="auto"/>
              <w:bottom w:val="single" w:sz="8" w:space="0" w:color="000000"/>
              <w:right w:val="single" w:sz="8" w:space="0" w:color="000000"/>
            </w:tcBorders>
            <w:vAlign w:val="center"/>
            <w:hideMark/>
          </w:tcPr>
          <w:p w:rsidR="00461B54" w:rsidRPr="00844DF6" w:rsidRDefault="00461B54" w:rsidP="00461B54">
            <w:pPr>
              <w:rPr>
                <w:b/>
                <w:bCs/>
                <w:color w:val="000000"/>
                <w:sz w:val="22"/>
                <w:szCs w:val="22"/>
              </w:rPr>
            </w:pPr>
          </w:p>
        </w:tc>
        <w:tc>
          <w:tcPr>
            <w:tcW w:w="1560" w:type="dxa"/>
            <w:gridSpan w:val="3"/>
            <w:vMerge/>
            <w:tcBorders>
              <w:top w:val="single" w:sz="8" w:space="0" w:color="auto"/>
              <w:left w:val="single" w:sz="8" w:space="0" w:color="auto"/>
              <w:bottom w:val="single" w:sz="8" w:space="0" w:color="000000"/>
              <w:right w:val="single" w:sz="8" w:space="0" w:color="000000"/>
            </w:tcBorders>
            <w:vAlign w:val="center"/>
            <w:hideMark/>
          </w:tcPr>
          <w:p w:rsidR="00461B54" w:rsidRPr="00844DF6" w:rsidRDefault="00461B54" w:rsidP="00461B54">
            <w:pPr>
              <w:rPr>
                <w:b/>
                <w:bCs/>
                <w:color w:val="000000"/>
                <w:sz w:val="22"/>
                <w:szCs w:val="22"/>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461B54" w:rsidRPr="00844DF6" w:rsidRDefault="00461B54" w:rsidP="00461B54">
            <w:pPr>
              <w:rPr>
                <w:b/>
                <w:bCs/>
                <w:color w:val="000000"/>
                <w:sz w:val="22"/>
                <w:szCs w:val="22"/>
              </w:rPr>
            </w:pPr>
          </w:p>
        </w:tc>
      </w:tr>
      <w:tr w:rsidR="00461B54" w:rsidRPr="00844DF6" w:rsidTr="00461B54">
        <w:trPr>
          <w:trHeight w:val="564"/>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461B54" w:rsidRPr="00844DF6" w:rsidRDefault="00461B54" w:rsidP="00461B54">
            <w:pPr>
              <w:jc w:val="center"/>
              <w:rPr>
                <w:color w:val="000000"/>
                <w:sz w:val="22"/>
                <w:szCs w:val="22"/>
              </w:rPr>
            </w:pPr>
            <w:r w:rsidRPr="00844DF6">
              <w:rPr>
                <w:color w:val="000000"/>
                <w:sz w:val="22"/>
                <w:szCs w:val="22"/>
              </w:rPr>
              <w:t>RIDDOR reportable incidents</w:t>
            </w:r>
          </w:p>
        </w:tc>
        <w:tc>
          <w:tcPr>
            <w:tcW w:w="1560" w:type="dxa"/>
            <w:gridSpan w:val="3"/>
            <w:tcBorders>
              <w:top w:val="single" w:sz="8" w:space="0" w:color="auto"/>
              <w:left w:val="nil"/>
              <w:bottom w:val="nil"/>
              <w:right w:val="single" w:sz="8" w:space="0" w:color="000000"/>
            </w:tcBorders>
            <w:shd w:val="clear" w:color="000000" w:fill="F2F2F2"/>
            <w:vAlign w:val="center"/>
            <w:hideMark/>
          </w:tcPr>
          <w:p w:rsidR="00461B54" w:rsidRPr="00844DF6" w:rsidRDefault="00461B54" w:rsidP="00461B54">
            <w:pPr>
              <w:jc w:val="center"/>
              <w:rPr>
                <w:color w:val="FF0000"/>
                <w:sz w:val="22"/>
                <w:szCs w:val="22"/>
              </w:rPr>
            </w:pPr>
            <w:r w:rsidRPr="00844DF6">
              <w:rPr>
                <w:color w:val="FF0000"/>
                <w:sz w:val="22"/>
                <w:szCs w:val="22"/>
              </w:rPr>
              <w:t>0</w:t>
            </w:r>
          </w:p>
        </w:tc>
        <w:tc>
          <w:tcPr>
            <w:tcW w:w="1560" w:type="dxa"/>
            <w:gridSpan w:val="3"/>
            <w:tcBorders>
              <w:top w:val="single" w:sz="8" w:space="0" w:color="auto"/>
              <w:left w:val="nil"/>
              <w:bottom w:val="nil"/>
              <w:right w:val="single" w:sz="8" w:space="0" w:color="000000"/>
            </w:tcBorders>
            <w:shd w:val="clear" w:color="000000" w:fill="F2F2F2"/>
            <w:vAlign w:val="center"/>
            <w:hideMark/>
          </w:tcPr>
          <w:p w:rsidR="00461B54" w:rsidRPr="00844DF6" w:rsidRDefault="00461B54" w:rsidP="00461B54">
            <w:pPr>
              <w:jc w:val="center"/>
              <w:rPr>
                <w:color w:val="FF0000"/>
                <w:sz w:val="22"/>
                <w:szCs w:val="22"/>
              </w:rPr>
            </w:pPr>
            <w:r w:rsidRPr="00844DF6">
              <w:rPr>
                <w:color w:val="FF0000"/>
                <w:sz w:val="22"/>
                <w:szCs w:val="22"/>
              </w:rPr>
              <w:t>0</w:t>
            </w:r>
          </w:p>
        </w:tc>
        <w:tc>
          <w:tcPr>
            <w:tcW w:w="1560" w:type="dxa"/>
            <w:gridSpan w:val="3"/>
            <w:tcBorders>
              <w:top w:val="single" w:sz="8" w:space="0" w:color="auto"/>
              <w:left w:val="nil"/>
              <w:bottom w:val="nil"/>
              <w:right w:val="single" w:sz="8" w:space="0" w:color="000000"/>
            </w:tcBorders>
            <w:shd w:val="clear" w:color="000000" w:fill="F2F2F2"/>
            <w:vAlign w:val="center"/>
            <w:hideMark/>
          </w:tcPr>
          <w:p w:rsidR="00461B54" w:rsidRPr="00844DF6" w:rsidRDefault="00461B54" w:rsidP="00461B54">
            <w:pPr>
              <w:jc w:val="center"/>
              <w:rPr>
                <w:color w:val="FF0000"/>
                <w:sz w:val="22"/>
                <w:szCs w:val="22"/>
              </w:rPr>
            </w:pPr>
            <w:r w:rsidRPr="00844DF6">
              <w:rPr>
                <w:color w:val="FF0000"/>
                <w:sz w:val="22"/>
                <w:szCs w:val="22"/>
              </w:rPr>
              <w:t> </w:t>
            </w:r>
          </w:p>
        </w:tc>
        <w:tc>
          <w:tcPr>
            <w:tcW w:w="1560" w:type="dxa"/>
            <w:gridSpan w:val="3"/>
            <w:tcBorders>
              <w:top w:val="single" w:sz="8" w:space="0" w:color="auto"/>
              <w:left w:val="nil"/>
              <w:bottom w:val="nil"/>
              <w:right w:val="single" w:sz="8" w:space="0" w:color="000000"/>
            </w:tcBorders>
            <w:shd w:val="clear" w:color="000000" w:fill="F2F2F2"/>
            <w:vAlign w:val="center"/>
            <w:hideMark/>
          </w:tcPr>
          <w:p w:rsidR="00461B54" w:rsidRPr="00844DF6" w:rsidRDefault="00461B54" w:rsidP="00461B54">
            <w:pPr>
              <w:jc w:val="center"/>
              <w:rPr>
                <w:color w:val="FF0000"/>
                <w:sz w:val="22"/>
                <w:szCs w:val="22"/>
              </w:rPr>
            </w:pPr>
            <w:r w:rsidRPr="00844DF6">
              <w:rPr>
                <w:color w:val="FF0000"/>
                <w:sz w:val="22"/>
                <w:szCs w:val="22"/>
              </w:rPr>
              <w:t> </w:t>
            </w:r>
          </w:p>
        </w:tc>
        <w:tc>
          <w:tcPr>
            <w:tcW w:w="1480" w:type="dxa"/>
            <w:tcBorders>
              <w:top w:val="nil"/>
              <w:left w:val="nil"/>
              <w:bottom w:val="single" w:sz="8" w:space="0" w:color="000000"/>
              <w:right w:val="single" w:sz="8" w:space="0" w:color="000000"/>
            </w:tcBorders>
            <w:shd w:val="clear" w:color="auto" w:fill="auto"/>
            <w:noWrap/>
            <w:vAlign w:val="center"/>
            <w:hideMark/>
          </w:tcPr>
          <w:p w:rsidR="00461B54" w:rsidRPr="00844DF6" w:rsidRDefault="00461B54" w:rsidP="00461B54">
            <w:pPr>
              <w:jc w:val="center"/>
              <w:rPr>
                <w:color w:val="FF0000"/>
                <w:sz w:val="22"/>
                <w:szCs w:val="22"/>
              </w:rPr>
            </w:pPr>
            <w:r w:rsidRPr="00844DF6">
              <w:rPr>
                <w:color w:val="FF0000"/>
                <w:sz w:val="22"/>
                <w:szCs w:val="22"/>
              </w:rPr>
              <w:t>0</w:t>
            </w:r>
          </w:p>
        </w:tc>
      </w:tr>
      <w:tr w:rsidR="00461B54" w:rsidRPr="00844DF6" w:rsidTr="00461B54">
        <w:trPr>
          <w:trHeight w:val="300"/>
        </w:trPr>
        <w:tc>
          <w:tcPr>
            <w:tcW w:w="2300" w:type="dxa"/>
            <w:tcBorders>
              <w:top w:val="nil"/>
              <w:left w:val="single" w:sz="8" w:space="0" w:color="auto"/>
              <w:bottom w:val="single" w:sz="8" w:space="0" w:color="auto"/>
              <w:right w:val="nil"/>
            </w:tcBorders>
            <w:shd w:val="clear" w:color="auto" w:fill="auto"/>
            <w:noWrap/>
            <w:vAlign w:val="center"/>
            <w:hideMark/>
          </w:tcPr>
          <w:p w:rsidR="00461B54" w:rsidRPr="00844DF6" w:rsidRDefault="00461B54" w:rsidP="00461B54">
            <w:pPr>
              <w:jc w:val="center"/>
              <w:rPr>
                <w:color w:val="000000"/>
                <w:sz w:val="22"/>
                <w:szCs w:val="22"/>
              </w:rPr>
            </w:pPr>
            <w:r w:rsidRPr="00844DF6">
              <w:rPr>
                <w:color w:val="000000"/>
                <w:sz w:val="22"/>
                <w:szCs w:val="22"/>
              </w:rPr>
              <w:t>Injuries</w:t>
            </w:r>
          </w:p>
        </w:tc>
        <w:tc>
          <w:tcPr>
            <w:tcW w:w="52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461B54" w:rsidRPr="00844DF6" w:rsidRDefault="00461B54" w:rsidP="00461B54">
            <w:pPr>
              <w:jc w:val="center"/>
              <w:rPr>
                <w:color w:val="FF0000"/>
                <w:sz w:val="22"/>
                <w:szCs w:val="22"/>
              </w:rPr>
            </w:pPr>
            <w:r w:rsidRPr="00844DF6">
              <w:rPr>
                <w:color w:val="FF0000"/>
                <w:sz w:val="22"/>
                <w:szCs w:val="22"/>
              </w:rPr>
              <w:t>0</w:t>
            </w:r>
          </w:p>
        </w:tc>
        <w:tc>
          <w:tcPr>
            <w:tcW w:w="520" w:type="dxa"/>
            <w:tcBorders>
              <w:top w:val="single" w:sz="8" w:space="0" w:color="auto"/>
              <w:left w:val="nil"/>
              <w:bottom w:val="single" w:sz="4" w:space="0" w:color="auto"/>
              <w:right w:val="single" w:sz="4" w:space="0" w:color="auto"/>
            </w:tcBorders>
            <w:shd w:val="clear" w:color="000000" w:fill="F2F2F2"/>
            <w:noWrap/>
            <w:vAlign w:val="center"/>
            <w:hideMark/>
          </w:tcPr>
          <w:p w:rsidR="00461B54" w:rsidRPr="00844DF6" w:rsidRDefault="00461B54" w:rsidP="00461B54">
            <w:pPr>
              <w:jc w:val="center"/>
              <w:rPr>
                <w:color w:val="FFC000"/>
                <w:sz w:val="22"/>
                <w:szCs w:val="22"/>
              </w:rPr>
            </w:pPr>
            <w:r w:rsidRPr="00844DF6">
              <w:rPr>
                <w:color w:val="FFC000"/>
                <w:sz w:val="22"/>
                <w:szCs w:val="22"/>
              </w:rPr>
              <w:t>0</w:t>
            </w:r>
          </w:p>
        </w:tc>
        <w:tc>
          <w:tcPr>
            <w:tcW w:w="520" w:type="dxa"/>
            <w:tcBorders>
              <w:top w:val="single" w:sz="8" w:space="0" w:color="auto"/>
              <w:left w:val="nil"/>
              <w:bottom w:val="single" w:sz="4" w:space="0" w:color="auto"/>
              <w:right w:val="single" w:sz="8" w:space="0" w:color="auto"/>
            </w:tcBorders>
            <w:shd w:val="clear" w:color="000000" w:fill="F2F2F2"/>
            <w:noWrap/>
            <w:vAlign w:val="center"/>
            <w:hideMark/>
          </w:tcPr>
          <w:p w:rsidR="00461B54" w:rsidRPr="00844DF6" w:rsidRDefault="00461B54" w:rsidP="00461B54">
            <w:pPr>
              <w:jc w:val="center"/>
              <w:rPr>
                <w:color w:val="00B050"/>
                <w:sz w:val="22"/>
                <w:szCs w:val="22"/>
              </w:rPr>
            </w:pPr>
            <w:r w:rsidRPr="00844DF6">
              <w:rPr>
                <w:color w:val="00B050"/>
                <w:sz w:val="22"/>
                <w:szCs w:val="22"/>
              </w:rPr>
              <w:t>0</w:t>
            </w:r>
          </w:p>
        </w:tc>
        <w:tc>
          <w:tcPr>
            <w:tcW w:w="520" w:type="dxa"/>
            <w:tcBorders>
              <w:top w:val="single" w:sz="8" w:space="0" w:color="auto"/>
              <w:left w:val="nil"/>
              <w:bottom w:val="single" w:sz="4" w:space="0" w:color="auto"/>
              <w:right w:val="single" w:sz="4" w:space="0" w:color="auto"/>
            </w:tcBorders>
            <w:shd w:val="clear" w:color="000000" w:fill="F2F2F2"/>
            <w:noWrap/>
            <w:vAlign w:val="center"/>
            <w:hideMark/>
          </w:tcPr>
          <w:p w:rsidR="00461B54" w:rsidRPr="00844DF6" w:rsidRDefault="00461B54" w:rsidP="00461B54">
            <w:pPr>
              <w:jc w:val="center"/>
              <w:rPr>
                <w:color w:val="FF0000"/>
                <w:sz w:val="22"/>
                <w:szCs w:val="22"/>
              </w:rPr>
            </w:pPr>
            <w:r w:rsidRPr="00844DF6">
              <w:rPr>
                <w:color w:val="FF0000"/>
                <w:sz w:val="22"/>
                <w:szCs w:val="22"/>
              </w:rPr>
              <w:t>0</w:t>
            </w:r>
          </w:p>
        </w:tc>
        <w:tc>
          <w:tcPr>
            <w:tcW w:w="520" w:type="dxa"/>
            <w:tcBorders>
              <w:top w:val="single" w:sz="8" w:space="0" w:color="auto"/>
              <w:left w:val="nil"/>
              <w:bottom w:val="single" w:sz="4" w:space="0" w:color="auto"/>
              <w:right w:val="single" w:sz="4" w:space="0" w:color="auto"/>
            </w:tcBorders>
            <w:shd w:val="clear" w:color="000000" w:fill="F2F2F2"/>
            <w:noWrap/>
            <w:vAlign w:val="center"/>
            <w:hideMark/>
          </w:tcPr>
          <w:p w:rsidR="00461B54" w:rsidRPr="00844DF6" w:rsidRDefault="00461B54" w:rsidP="00461B54">
            <w:pPr>
              <w:jc w:val="center"/>
              <w:rPr>
                <w:color w:val="FFC000"/>
                <w:sz w:val="22"/>
                <w:szCs w:val="22"/>
              </w:rPr>
            </w:pPr>
            <w:r w:rsidRPr="00844DF6">
              <w:rPr>
                <w:color w:val="FFC000"/>
                <w:sz w:val="22"/>
                <w:szCs w:val="22"/>
              </w:rPr>
              <w:t>0</w:t>
            </w:r>
          </w:p>
        </w:tc>
        <w:tc>
          <w:tcPr>
            <w:tcW w:w="520" w:type="dxa"/>
            <w:tcBorders>
              <w:top w:val="single" w:sz="8" w:space="0" w:color="auto"/>
              <w:left w:val="nil"/>
              <w:bottom w:val="single" w:sz="4" w:space="0" w:color="auto"/>
              <w:right w:val="nil"/>
            </w:tcBorders>
            <w:shd w:val="clear" w:color="000000" w:fill="F2F2F2"/>
            <w:noWrap/>
            <w:vAlign w:val="center"/>
            <w:hideMark/>
          </w:tcPr>
          <w:p w:rsidR="00461B54" w:rsidRPr="00844DF6" w:rsidRDefault="00461B54" w:rsidP="00461B54">
            <w:pPr>
              <w:jc w:val="center"/>
              <w:rPr>
                <w:color w:val="00B050"/>
                <w:sz w:val="22"/>
                <w:szCs w:val="22"/>
              </w:rPr>
            </w:pPr>
            <w:r w:rsidRPr="00844DF6">
              <w:rPr>
                <w:color w:val="00B050"/>
                <w:sz w:val="22"/>
                <w:szCs w:val="22"/>
              </w:rPr>
              <w:t>1</w:t>
            </w:r>
          </w:p>
        </w:tc>
        <w:tc>
          <w:tcPr>
            <w:tcW w:w="524"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461B54" w:rsidRPr="00844DF6" w:rsidRDefault="00461B54" w:rsidP="00461B54">
            <w:pPr>
              <w:jc w:val="center"/>
              <w:rPr>
                <w:color w:val="FF0000"/>
                <w:sz w:val="22"/>
                <w:szCs w:val="22"/>
              </w:rPr>
            </w:pPr>
            <w:r w:rsidRPr="00844DF6">
              <w:rPr>
                <w:color w:val="FF0000"/>
                <w:sz w:val="22"/>
                <w:szCs w:val="22"/>
              </w:rPr>
              <w:t> </w:t>
            </w:r>
          </w:p>
        </w:tc>
        <w:tc>
          <w:tcPr>
            <w:tcW w:w="518" w:type="dxa"/>
            <w:tcBorders>
              <w:top w:val="single" w:sz="8" w:space="0" w:color="auto"/>
              <w:left w:val="nil"/>
              <w:bottom w:val="single" w:sz="4" w:space="0" w:color="auto"/>
              <w:right w:val="single" w:sz="4" w:space="0" w:color="auto"/>
            </w:tcBorders>
            <w:shd w:val="clear" w:color="000000" w:fill="F2F2F2"/>
            <w:noWrap/>
            <w:vAlign w:val="center"/>
            <w:hideMark/>
          </w:tcPr>
          <w:p w:rsidR="00461B54" w:rsidRPr="00844DF6" w:rsidRDefault="00461B54" w:rsidP="00461B54">
            <w:pPr>
              <w:jc w:val="center"/>
              <w:rPr>
                <w:color w:val="FFC000"/>
                <w:sz w:val="22"/>
                <w:szCs w:val="22"/>
              </w:rPr>
            </w:pPr>
            <w:r w:rsidRPr="00844DF6">
              <w:rPr>
                <w:color w:val="FFC000"/>
                <w:sz w:val="22"/>
                <w:szCs w:val="22"/>
              </w:rPr>
              <w:t> </w:t>
            </w:r>
          </w:p>
        </w:tc>
        <w:tc>
          <w:tcPr>
            <w:tcW w:w="518" w:type="dxa"/>
            <w:tcBorders>
              <w:top w:val="single" w:sz="8" w:space="0" w:color="auto"/>
              <w:left w:val="nil"/>
              <w:bottom w:val="single" w:sz="4" w:space="0" w:color="auto"/>
              <w:right w:val="single" w:sz="8" w:space="0" w:color="auto"/>
            </w:tcBorders>
            <w:shd w:val="clear" w:color="000000" w:fill="F2F2F2"/>
            <w:noWrap/>
            <w:vAlign w:val="center"/>
            <w:hideMark/>
          </w:tcPr>
          <w:p w:rsidR="00461B54" w:rsidRPr="00844DF6" w:rsidRDefault="00461B54" w:rsidP="00461B54">
            <w:pPr>
              <w:jc w:val="center"/>
              <w:rPr>
                <w:color w:val="00B050"/>
                <w:sz w:val="22"/>
                <w:szCs w:val="22"/>
              </w:rPr>
            </w:pPr>
            <w:r w:rsidRPr="00844DF6">
              <w:rPr>
                <w:color w:val="00B050"/>
                <w:sz w:val="22"/>
                <w:szCs w:val="22"/>
              </w:rPr>
              <w:t> </w:t>
            </w:r>
          </w:p>
        </w:tc>
        <w:tc>
          <w:tcPr>
            <w:tcW w:w="524" w:type="dxa"/>
            <w:tcBorders>
              <w:top w:val="single" w:sz="8" w:space="0" w:color="auto"/>
              <w:left w:val="nil"/>
              <w:bottom w:val="single" w:sz="4" w:space="0" w:color="auto"/>
              <w:right w:val="single" w:sz="4" w:space="0" w:color="auto"/>
            </w:tcBorders>
            <w:shd w:val="clear" w:color="000000" w:fill="F2F2F2"/>
            <w:noWrap/>
            <w:vAlign w:val="center"/>
            <w:hideMark/>
          </w:tcPr>
          <w:p w:rsidR="00461B54" w:rsidRPr="00844DF6" w:rsidRDefault="00461B54" w:rsidP="00461B54">
            <w:pPr>
              <w:jc w:val="center"/>
              <w:rPr>
                <w:color w:val="FF0000"/>
                <w:sz w:val="22"/>
                <w:szCs w:val="22"/>
              </w:rPr>
            </w:pPr>
            <w:r w:rsidRPr="00844DF6">
              <w:rPr>
                <w:color w:val="FF0000"/>
                <w:sz w:val="22"/>
                <w:szCs w:val="22"/>
              </w:rPr>
              <w:t> </w:t>
            </w:r>
          </w:p>
        </w:tc>
        <w:tc>
          <w:tcPr>
            <w:tcW w:w="518" w:type="dxa"/>
            <w:tcBorders>
              <w:top w:val="single" w:sz="8" w:space="0" w:color="auto"/>
              <w:left w:val="nil"/>
              <w:bottom w:val="single" w:sz="4" w:space="0" w:color="auto"/>
              <w:right w:val="single" w:sz="4" w:space="0" w:color="auto"/>
            </w:tcBorders>
            <w:shd w:val="clear" w:color="000000" w:fill="F2F2F2"/>
            <w:noWrap/>
            <w:vAlign w:val="center"/>
            <w:hideMark/>
          </w:tcPr>
          <w:p w:rsidR="00461B54" w:rsidRPr="00844DF6" w:rsidRDefault="00461B54" w:rsidP="00461B54">
            <w:pPr>
              <w:jc w:val="center"/>
              <w:rPr>
                <w:color w:val="FFC000"/>
                <w:sz w:val="22"/>
                <w:szCs w:val="22"/>
              </w:rPr>
            </w:pPr>
            <w:r w:rsidRPr="00844DF6">
              <w:rPr>
                <w:color w:val="FFC000"/>
                <w:sz w:val="22"/>
                <w:szCs w:val="22"/>
              </w:rPr>
              <w:t> </w:t>
            </w:r>
          </w:p>
        </w:tc>
        <w:tc>
          <w:tcPr>
            <w:tcW w:w="518" w:type="dxa"/>
            <w:tcBorders>
              <w:top w:val="single" w:sz="8" w:space="0" w:color="auto"/>
              <w:left w:val="nil"/>
              <w:bottom w:val="single" w:sz="4" w:space="0" w:color="auto"/>
              <w:right w:val="single" w:sz="8" w:space="0" w:color="auto"/>
            </w:tcBorders>
            <w:shd w:val="clear" w:color="000000" w:fill="F2F2F2"/>
            <w:noWrap/>
            <w:vAlign w:val="center"/>
            <w:hideMark/>
          </w:tcPr>
          <w:p w:rsidR="00461B54" w:rsidRPr="00844DF6" w:rsidRDefault="00461B54" w:rsidP="00461B54">
            <w:pPr>
              <w:jc w:val="center"/>
              <w:rPr>
                <w:color w:val="00B050"/>
                <w:sz w:val="22"/>
                <w:szCs w:val="22"/>
              </w:rPr>
            </w:pPr>
            <w:r w:rsidRPr="00844DF6">
              <w:rPr>
                <w:color w:val="00B050"/>
                <w:sz w:val="22"/>
                <w:szCs w:val="22"/>
              </w:rPr>
              <w:t> </w:t>
            </w:r>
          </w:p>
        </w:tc>
        <w:tc>
          <w:tcPr>
            <w:tcW w:w="1480" w:type="dxa"/>
            <w:tcBorders>
              <w:top w:val="nil"/>
              <w:left w:val="nil"/>
              <w:bottom w:val="single" w:sz="8" w:space="0" w:color="000000"/>
              <w:right w:val="single" w:sz="8" w:space="0" w:color="000000"/>
            </w:tcBorders>
            <w:shd w:val="clear" w:color="auto" w:fill="auto"/>
            <w:noWrap/>
            <w:vAlign w:val="center"/>
            <w:hideMark/>
          </w:tcPr>
          <w:p w:rsidR="00461B54" w:rsidRPr="00844DF6" w:rsidRDefault="00461B54" w:rsidP="00461B54">
            <w:pPr>
              <w:jc w:val="center"/>
              <w:rPr>
                <w:color w:val="000000"/>
                <w:sz w:val="22"/>
                <w:szCs w:val="22"/>
              </w:rPr>
            </w:pPr>
            <w:r w:rsidRPr="00844DF6">
              <w:rPr>
                <w:color w:val="000000"/>
                <w:sz w:val="22"/>
                <w:szCs w:val="22"/>
              </w:rPr>
              <w:t>1</w:t>
            </w:r>
          </w:p>
        </w:tc>
      </w:tr>
      <w:tr w:rsidR="00461B54" w:rsidRPr="00844DF6" w:rsidTr="00461B54">
        <w:trPr>
          <w:trHeight w:val="300"/>
        </w:trPr>
        <w:tc>
          <w:tcPr>
            <w:tcW w:w="2300" w:type="dxa"/>
            <w:tcBorders>
              <w:top w:val="nil"/>
              <w:left w:val="single" w:sz="8" w:space="0" w:color="000000"/>
              <w:bottom w:val="single" w:sz="8" w:space="0" w:color="000000"/>
              <w:right w:val="nil"/>
            </w:tcBorders>
            <w:shd w:val="clear" w:color="auto" w:fill="auto"/>
            <w:noWrap/>
            <w:vAlign w:val="center"/>
            <w:hideMark/>
          </w:tcPr>
          <w:p w:rsidR="00461B54" w:rsidRPr="00844DF6" w:rsidRDefault="00461B54" w:rsidP="00312796">
            <w:pPr>
              <w:jc w:val="center"/>
              <w:rPr>
                <w:color w:val="000000"/>
                <w:sz w:val="22"/>
                <w:szCs w:val="22"/>
              </w:rPr>
            </w:pPr>
            <w:r w:rsidRPr="00844DF6">
              <w:rPr>
                <w:color w:val="000000"/>
                <w:sz w:val="22"/>
                <w:szCs w:val="22"/>
              </w:rPr>
              <w:t>Non Injury Incidents</w:t>
            </w:r>
          </w:p>
        </w:tc>
        <w:tc>
          <w:tcPr>
            <w:tcW w:w="520" w:type="dxa"/>
            <w:tcBorders>
              <w:top w:val="nil"/>
              <w:left w:val="single" w:sz="8" w:space="0" w:color="auto"/>
              <w:bottom w:val="single" w:sz="8" w:space="0" w:color="auto"/>
              <w:right w:val="single" w:sz="4" w:space="0" w:color="auto"/>
            </w:tcBorders>
            <w:shd w:val="clear" w:color="000000" w:fill="F2F2F2"/>
            <w:noWrap/>
            <w:vAlign w:val="center"/>
            <w:hideMark/>
          </w:tcPr>
          <w:p w:rsidR="00461B54" w:rsidRPr="00844DF6" w:rsidRDefault="00461B54" w:rsidP="00461B54">
            <w:pPr>
              <w:jc w:val="center"/>
              <w:rPr>
                <w:color w:val="FF0000"/>
                <w:sz w:val="22"/>
                <w:szCs w:val="22"/>
              </w:rPr>
            </w:pPr>
            <w:r w:rsidRPr="00844DF6">
              <w:rPr>
                <w:color w:val="FF0000"/>
                <w:sz w:val="22"/>
                <w:szCs w:val="22"/>
              </w:rPr>
              <w:t>0</w:t>
            </w:r>
          </w:p>
        </w:tc>
        <w:tc>
          <w:tcPr>
            <w:tcW w:w="520" w:type="dxa"/>
            <w:tcBorders>
              <w:top w:val="nil"/>
              <w:left w:val="nil"/>
              <w:bottom w:val="single" w:sz="8" w:space="0" w:color="auto"/>
              <w:right w:val="single" w:sz="4" w:space="0" w:color="auto"/>
            </w:tcBorders>
            <w:shd w:val="clear" w:color="000000" w:fill="F2F2F2"/>
            <w:noWrap/>
            <w:vAlign w:val="center"/>
            <w:hideMark/>
          </w:tcPr>
          <w:p w:rsidR="00461B54" w:rsidRPr="00844DF6" w:rsidRDefault="00461B54" w:rsidP="00461B54">
            <w:pPr>
              <w:jc w:val="center"/>
              <w:rPr>
                <w:color w:val="FFC000"/>
                <w:sz w:val="22"/>
                <w:szCs w:val="22"/>
              </w:rPr>
            </w:pPr>
            <w:r w:rsidRPr="00844DF6">
              <w:rPr>
                <w:color w:val="FFC000"/>
                <w:sz w:val="22"/>
                <w:szCs w:val="22"/>
              </w:rPr>
              <w:t>0</w:t>
            </w:r>
          </w:p>
        </w:tc>
        <w:tc>
          <w:tcPr>
            <w:tcW w:w="520" w:type="dxa"/>
            <w:tcBorders>
              <w:top w:val="nil"/>
              <w:left w:val="nil"/>
              <w:bottom w:val="single" w:sz="8" w:space="0" w:color="auto"/>
              <w:right w:val="single" w:sz="8" w:space="0" w:color="auto"/>
            </w:tcBorders>
            <w:shd w:val="clear" w:color="000000" w:fill="F2F2F2"/>
            <w:noWrap/>
            <w:vAlign w:val="center"/>
            <w:hideMark/>
          </w:tcPr>
          <w:p w:rsidR="00461B54" w:rsidRPr="00844DF6" w:rsidRDefault="00461B54" w:rsidP="00461B54">
            <w:pPr>
              <w:jc w:val="center"/>
              <w:rPr>
                <w:color w:val="00B050"/>
                <w:sz w:val="22"/>
                <w:szCs w:val="22"/>
              </w:rPr>
            </w:pPr>
            <w:r w:rsidRPr="00844DF6">
              <w:rPr>
                <w:color w:val="00B050"/>
                <w:sz w:val="22"/>
                <w:szCs w:val="22"/>
              </w:rPr>
              <w:t>1</w:t>
            </w:r>
          </w:p>
        </w:tc>
        <w:tc>
          <w:tcPr>
            <w:tcW w:w="520" w:type="dxa"/>
            <w:tcBorders>
              <w:top w:val="nil"/>
              <w:left w:val="nil"/>
              <w:bottom w:val="single" w:sz="8" w:space="0" w:color="auto"/>
              <w:right w:val="single" w:sz="4" w:space="0" w:color="auto"/>
            </w:tcBorders>
            <w:shd w:val="clear" w:color="000000" w:fill="F2F2F2"/>
            <w:noWrap/>
            <w:vAlign w:val="center"/>
            <w:hideMark/>
          </w:tcPr>
          <w:p w:rsidR="00461B54" w:rsidRPr="00844DF6" w:rsidRDefault="00461B54" w:rsidP="00461B54">
            <w:pPr>
              <w:jc w:val="center"/>
              <w:rPr>
                <w:color w:val="FF0000"/>
                <w:sz w:val="22"/>
                <w:szCs w:val="22"/>
              </w:rPr>
            </w:pPr>
            <w:r w:rsidRPr="00844DF6">
              <w:rPr>
                <w:color w:val="FF0000"/>
                <w:sz w:val="22"/>
                <w:szCs w:val="22"/>
              </w:rPr>
              <w:t>0</w:t>
            </w:r>
          </w:p>
        </w:tc>
        <w:tc>
          <w:tcPr>
            <w:tcW w:w="520" w:type="dxa"/>
            <w:tcBorders>
              <w:top w:val="nil"/>
              <w:left w:val="nil"/>
              <w:bottom w:val="single" w:sz="8" w:space="0" w:color="auto"/>
              <w:right w:val="single" w:sz="4" w:space="0" w:color="auto"/>
            </w:tcBorders>
            <w:shd w:val="clear" w:color="000000" w:fill="F2F2F2"/>
            <w:noWrap/>
            <w:vAlign w:val="center"/>
            <w:hideMark/>
          </w:tcPr>
          <w:p w:rsidR="00461B54" w:rsidRPr="00844DF6" w:rsidRDefault="00461B54" w:rsidP="00461B54">
            <w:pPr>
              <w:jc w:val="center"/>
              <w:rPr>
                <w:color w:val="FFC000"/>
                <w:sz w:val="22"/>
                <w:szCs w:val="22"/>
              </w:rPr>
            </w:pPr>
            <w:r w:rsidRPr="00844DF6">
              <w:rPr>
                <w:color w:val="FFC000"/>
                <w:sz w:val="22"/>
                <w:szCs w:val="22"/>
              </w:rPr>
              <w:t>0</w:t>
            </w:r>
          </w:p>
        </w:tc>
        <w:tc>
          <w:tcPr>
            <w:tcW w:w="520" w:type="dxa"/>
            <w:tcBorders>
              <w:top w:val="nil"/>
              <w:left w:val="nil"/>
              <w:bottom w:val="single" w:sz="8" w:space="0" w:color="auto"/>
              <w:right w:val="nil"/>
            </w:tcBorders>
            <w:shd w:val="clear" w:color="000000" w:fill="F2F2F2"/>
            <w:noWrap/>
            <w:vAlign w:val="center"/>
            <w:hideMark/>
          </w:tcPr>
          <w:p w:rsidR="00461B54" w:rsidRPr="00844DF6" w:rsidRDefault="00461B54" w:rsidP="00461B54">
            <w:pPr>
              <w:jc w:val="center"/>
              <w:rPr>
                <w:color w:val="00B050"/>
                <w:sz w:val="22"/>
                <w:szCs w:val="22"/>
              </w:rPr>
            </w:pPr>
            <w:r w:rsidRPr="00844DF6">
              <w:rPr>
                <w:color w:val="00B050"/>
                <w:sz w:val="22"/>
                <w:szCs w:val="22"/>
              </w:rPr>
              <w:t>0</w:t>
            </w:r>
          </w:p>
        </w:tc>
        <w:tc>
          <w:tcPr>
            <w:tcW w:w="524" w:type="dxa"/>
            <w:tcBorders>
              <w:top w:val="nil"/>
              <w:left w:val="single" w:sz="8" w:space="0" w:color="auto"/>
              <w:bottom w:val="single" w:sz="8" w:space="0" w:color="auto"/>
              <w:right w:val="single" w:sz="4" w:space="0" w:color="auto"/>
            </w:tcBorders>
            <w:shd w:val="clear" w:color="000000" w:fill="F2F2F2"/>
            <w:noWrap/>
            <w:vAlign w:val="center"/>
            <w:hideMark/>
          </w:tcPr>
          <w:p w:rsidR="00461B54" w:rsidRPr="00844DF6" w:rsidRDefault="00461B54" w:rsidP="00461B54">
            <w:pPr>
              <w:jc w:val="center"/>
              <w:rPr>
                <w:color w:val="FF0000"/>
                <w:sz w:val="22"/>
                <w:szCs w:val="22"/>
              </w:rPr>
            </w:pPr>
            <w:r w:rsidRPr="00844DF6">
              <w:rPr>
                <w:color w:val="FF0000"/>
                <w:sz w:val="22"/>
                <w:szCs w:val="22"/>
              </w:rPr>
              <w:t> </w:t>
            </w:r>
          </w:p>
        </w:tc>
        <w:tc>
          <w:tcPr>
            <w:tcW w:w="518" w:type="dxa"/>
            <w:tcBorders>
              <w:top w:val="nil"/>
              <w:left w:val="nil"/>
              <w:bottom w:val="single" w:sz="8" w:space="0" w:color="auto"/>
              <w:right w:val="single" w:sz="4" w:space="0" w:color="auto"/>
            </w:tcBorders>
            <w:shd w:val="clear" w:color="000000" w:fill="F2F2F2"/>
            <w:noWrap/>
            <w:vAlign w:val="center"/>
            <w:hideMark/>
          </w:tcPr>
          <w:p w:rsidR="00461B54" w:rsidRPr="00844DF6" w:rsidRDefault="00461B54" w:rsidP="00461B54">
            <w:pPr>
              <w:jc w:val="center"/>
              <w:rPr>
                <w:color w:val="FFC000"/>
                <w:sz w:val="22"/>
                <w:szCs w:val="22"/>
              </w:rPr>
            </w:pPr>
            <w:r w:rsidRPr="00844DF6">
              <w:rPr>
                <w:color w:val="FFC000"/>
                <w:sz w:val="22"/>
                <w:szCs w:val="22"/>
              </w:rPr>
              <w:t> </w:t>
            </w:r>
          </w:p>
        </w:tc>
        <w:tc>
          <w:tcPr>
            <w:tcW w:w="518" w:type="dxa"/>
            <w:tcBorders>
              <w:top w:val="nil"/>
              <w:left w:val="nil"/>
              <w:bottom w:val="single" w:sz="8" w:space="0" w:color="auto"/>
              <w:right w:val="single" w:sz="8" w:space="0" w:color="auto"/>
            </w:tcBorders>
            <w:shd w:val="clear" w:color="000000" w:fill="F2F2F2"/>
            <w:noWrap/>
            <w:vAlign w:val="center"/>
            <w:hideMark/>
          </w:tcPr>
          <w:p w:rsidR="00461B54" w:rsidRPr="00844DF6" w:rsidRDefault="00461B54" w:rsidP="00461B54">
            <w:pPr>
              <w:jc w:val="center"/>
              <w:rPr>
                <w:color w:val="00B050"/>
                <w:sz w:val="22"/>
                <w:szCs w:val="22"/>
              </w:rPr>
            </w:pPr>
            <w:r w:rsidRPr="00844DF6">
              <w:rPr>
                <w:color w:val="00B050"/>
                <w:sz w:val="22"/>
                <w:szCs w:val="22"/>
              </w:rPr>
              <w:t> </w:t>
            </w:r>
          </w:p>
        </w:tc>
        <w:tc>
          <w:tcPr>
            <w:tcW w:w="524" w:type="dxa"/>
            <w:tcBorders>
              <w:top w:val="nil"/>
              <w:left w:val="nil"/>
              <w:bottom w:val="single" w:sz="8" w:space="0" w:color="auto"/>
              <w:right w:val="single" w:sz="4" w:space="0" w:color="auto"/>
            </w:tcBorders>
            <w:shd w:val="clear" w:color="000000" w:fill="F2F2F2"/>
            <w:noWrap/>
            <w:vAlign w:val="center"/>
            <w:hideMark/>
          </w:tcPr>
          <w:p w:rsidR="00461B54" w:rsidRPr="00844DF6" w:rsidRDefault="00461B54" w:rsidP="00461B54">
            <w:pPr>
              <w:jc w:val="center"/>
              <w:rPr>
                <w:color w:val="FF0000"/>
                <w:sz w:val="22"/>
                <w:szCs w:val="22"/>
              </w:rPr>
            </w:pPr>
            <w:r w:rsidRPr="00844DF6">
              <w:rPr>
                <w:color w:val="FF0000"/>
                <w:sz w:val="22"/>
                <w:szCs w:val="22"/>
              </w:rPr>
              <w:t> </w:t>
            </w:r>
          </w:p>
        </w:tc>
        <w:tc>
          <w:tcPr>
            <w:tcW w:w="518" w:type="dxa"/>
            <w:tcBorders>
              <w:top w:val="nil"/>
              <w:left w:val="nil"/>
              <w:bottom w:val="single" w:sz="8" w:space="0" w:color="auto"/>
              <w:right w:val="single" w:sz="4" w:space="0" w:color="auto"/>
            </w:tcBorders>
            <w:shd w:val="clear" w:color="000000" w:fill="F2F2F2"/>
            <w:noWrap/>
            <w:vAlign w:val="center"/>
            <w:hideMark/>
          </w:tcPr>
          <w:p w:rsidR="00461B54" w:rsidRPr="00844DF6" w:rsidRDefault="00461B54" w:rsidP="00461B54">
            <w:pPr>
              <w:jc w:val="center"/>
              <w:rPr>
                <w:color w:val="FFC000"/>
                <w:sz w:val="22"/>
                <w:szCs w:val="22"/>
              </w:rPr>
            </w:pPr>
            <w:r w:rsidRPr="00844DF6">
              <w:rPr>
                <w:color w:val="FFC000"/>
                <w:sz w:val="22"/>
                <w:szCs w:val="22"/>
              </w:rPr>
              <w:t> </w:t>
            </w:r>
          </w:p>
        </w:tc>
        <w:tc>
          <w:tcPr>
            <w:tcW w:w="518" w:type="dxa"/>
            <w:tcBorders>
              <w:top w:val="nil"/>
              <w:left w:val="nil"/>
              <w:bottom w:val="single" w:sz="8" w:space="0" w:color="auto"/>
              <w:right w:val="single" w:sz="8" w:space="0" w:color="auto"/>
            </w:tcBorders>
            <w:shd w:val="clear" w:color="000000" w:fill="F2F2F2"/>
            <w:noWrap/>
            <w:vAlign w:val="center"/>
            <w:hideMark/>
          </w:tcPr>
          <w:p w:rsidR="00461B54" w:rsidRPr="00844DF6" w:rsidRDefault="00461B54" w:rsidP="00461B54">
            <w:pPr>
              <w:jc w:val="center"/>
              <w:rPr>
                <w:color w:val="00B050"/>
                <w:sz w:val="22"/>
                <w:szCs w:val="22"/>
              </w:rPr>
            </w:pPr>
            <w:r w:rsidRPr="00844DF6">
              <w:rPr>
                <w:color w:val="00B050"/>
                <w:sz w:val="22"/>
                <w:szCs w:val="22"/>
              </w:rPr>
              <w:t> </w:t>
            </w:r>
          </w:p>
        </w:tc>
        <w:tc>
          <w:tcPr>
            <w:tcW w:w="1480" w:type="dxa"/>
            <w:tcBorders>
              <w:top w:val="nil"/>
              <w:left w:val="nil"/>
              <w:bottom w:val="single" w:sz="8" w:space="0" w:color="000000"/>
              <w:right w:val="single" w:sz="8" w:space="0" w:color="000000"/>
            </w:tcBorders>
            <w:shd w:val="clear" w:color="auto" w:fill="auto"/>
            <w:noWrap/>
            <w:vAlign w:val="center"/>
            <w:hideMark/>
          </w:tcPr>
          <w:p w:rsidR="00461B54" w:rsidRPr="00844DF6" w:rsidRDefault="00461B54" w:rsidP="00461B54">
            <w:pPr>
              <w:jc w:val="center"/>
              <w:rPr>
                <w:color w:val="000000"/>
                <w:sz w:val="22"/>
                <w:szCs w:val="22"/>
              </w:rPr>
            </w:pPr>
            <w:r w:rsidRPr="00844DF6">
              <w:rPr>
                <w:color w:val="000000"/>
                <w:sz w:val="22"/>
                <w:szCs w:val="22"/>
              </w:rPr>
              <w:t>1</w:t>
            </w:r>
          </w:p>
        </w:tc>
      </w:tr>
      <w:tr w:rsidR="00461B54" w:rsidRPr="00844DF6" w:rsidTr="00461B54">
        <w:trPr>
          <w:trHeight w:val="300"/>
        </w:trPr>
        <w:tc>
          <w:tcPr>
            <w:tcW w:w="2300" w:type="dxa"/>
            <w:tcBorders>
              <w:top w:val="nil"/>
              <w:left w:val="single" w:sz="8" w:space="0" w:color="auto"/>
              <w:bottom w:val="single" w:sz="8" w:space="0" w:color="auto"/>
              <w:right w:val="single" w:sz="8" w:space="0" w:color="auto"/>
            </w:tcBorders>
            <w:shd w:val="clear" w:color="000000" w:fill="FDE9D9"/>
            <w:vAlign w:val="center"/>
            <w:hideMark/>
          </w:tcPr>
          <w:p w:rsidR="00461B54" w:rsidRPr="00844DF6" w:rsidRDefault="00461B54" w:rsidP="00461B54">
            <w:pPr>
              <w:jc w:val="center"/>
              <w:rPr>
                <w:b/>
                <w:bCs/>
                <w:color w:val="000000"/>
                <w:sz w:val="22"/>
                <w:szCs w:val="22"/>
              </w:rPr>
            </w:pPr>
            <w:r w:rsidRPr="00844DF6">
              <w:rPr>
                <w:b/>
                <w:bCs/>
                <w:color w:val="000000"/>
                <w:sz w:val="22"/>
                <w:szCs w:val="22"/>
              </w:rPr>
              <w:t>Total:</w:t>
            </w:r>
          </w:p>
        </w:tc>
        <w:tc>
          <w:tcPr>
            <w:tcW w:w="1560" w:type="dxa"/>
            <w:gridSpan w:val="3"/>
            <w:tcBorders>
              <w:top w:val="nil"/>
              <w:left w:val="nil"/>
              <w:bottom w:val="single" w:sz="8" w:space="0" w:color="auto"/>
              <w:right w:val="single" w:sz="8" w:space="0" w:color="000000"/>
            </w:tcBorders>
            <w:shd w:val="clear" w:color="000000" w:fill="FDE9D9"/>
            <w:vAlign w:val="center"/>
            <w:hideMark/>
          </w:tcPr>
          <w:p w:rsidR="00461B54" w:rsidRPr="00844DF6" w:rsidRDefault="00461B54" w:rsidP="00461B54">
            <w:pPr>
              <w:jc w:val="center"/>
              <w:rPr>
                <w:b/>
                <w:bCs/>
                <w:color w:val="000000"/>
                <w:sz w:val="22"/>
                <w:szCs w:val="22"/>
              </w:rPr>
            </w:pPr>
            <w:r w:rsidRPr="00844DF6">
              <w:rPr>
                <w:b/>
                <w:bCs/>
                <w:color w:val="000000"/>
                <w:sz w:val="22"/>
                <w:szCs w:val="22"/>
              </w:rPr>
              <w:t>1</w:t>
            </w:r>
          </w:p>
        </w:tc>
        <w:tc>
          <w:tcPr>
            <w:tcW w:w="1560" w:type="dxa"/>
            <w:gridSpan w:val="3"/>
            <w:tcBorders>
              <w:top w:val="nil"/>
              <w:left w:val="nil"/>
              <w:bottom w:val="single" w:sz="8" w:space="0" w:color="auto"/>
              <w:right w:val="single" w:sz="8" w:space="0" w:color="000000"/>
            </w:tcBorders>
            <w:shd w:val="clear" w:color="000000" w:fill="FDE9D9"/>
            <w:vAlign w:val="center"/>
            <w:hideMark/>
          </w:tcPr>
          <w:p w:rsidR="00461B54" w:rsidRPr="00844DF6" w:rsidRDefault="00461B54" w:rsidP="00461B54">
            <w:pPr>
              <w:jc w:val="center"/>
              <w:rPr>
                <w:b/>
                <w:bCs/>
                <w:color w:val="000000"/>
                <w:sz w:val="22"/>
                <w:szCs w:val="22"/>
              </w:rPr>
            </w:pPr>
            <w:r w:rsidRPr="00844DF6">
              <w:rPr>
                <w:b/>
                <w:bCs/>
                <w:color w:val="000000"/>
                <w:sz w:val="22"/>
                <w:szCs w:val="22"/>
              </w:rPr>
              <w:t>1</w:t>
            </w:r>
          </w:p>
        </w:tc>
        <w:tc>
          <w:tcPr>
            <w:tcW w:w="1560" w:type="dxa"/>
            <w:gridSpan w:val="3"/>
            <w:tcBorders>
              <w:top w:val="nil"/>
              <w:left w:val="nil"/>
              <w:bottom w:val="single" w:sz="8" w:space="0" w:color="auto"/>
              <w:right w:val="single" w:sz="8" w:space="0" w:color="000000"/>
            </w:tcBorders>
            <w:shd w:val="clear" w:color="000000" w:fill="FDE9D9"/>
            <w:vAlign w:val="center"/>
            <w:hideMark/>
          </w:tcPr>
          <w:p w:rsidR="00461B54" w:rsidRPr="00844DF6" w:rsidRDefault="00461B54" w:rsidP="00461B54">
            <w:pPr>
              <w:jc w:val="center"/>
              <w:rPr>
                <w:b/>
                <w:bCs/>
                <w:color w:val="000000"/>
                <w:sz w:val="22"/>
                <w:szCs w:val="22"/>
              </w:rPr>
            </w:pPr>
            <w:r w:rsidRPr="00844DF6">
              <w:rPr>
                <w:b/>
                <w:bCs/>
                <w:color w:val="000000"/>
                <w:sz w:val="22"/>
                <w:szCs w:val="22"/>
              </w:rPr>
              <w:t>0</w:t>
            </w:r>
          </w:p>
        </w:tc>
        <w:tc>
          <w:tcPr>
            <w:tcW w:w="1560" w:type="dxa"/>
            <w:gridSpan w:val="3"/>
            <w:tcBorders>
              <w:top w:val="nil"/>
              <w:left w:val="nil"/>
              <w:bottom w:val="single" w:sz="8" w:space="0" w:color="auto"/>
              <w:right w:val="single" w:sz="8" w:space="0" w:color="000000"/>
            </w:tcBorders>
            <w:shd w:val="clear" w:color="000000" w:fill="FDE9D9"/>
            <w:vAlign w:val="center"/>
            <w:hideMark/>
          </w:tcPr>
          <w:p w:rsidR="00461B54" w:rsidRPr="00844DF6" w:rsidRDefault="00461B54" w:rsidP="00461B54">
            <w:pPr>
              <w:jc w:val="center"/>
              <w:rPr>
                <w:b/>
                <w:bCs/>
                <w:color w:val="000000"/>
                <w:sz w:val="22"/>
                <w:szCs w:val="22"/>
              </w:rPr>
            </w:pPr>
            <w:r w:rsidRPr="00844DF6">
              <w:rPr>
                <w:b/>
                <w:bCs/>
                <w:color w:val="000000"/>
                <w:sz w:val="22"/>
                <w:szCs w:val="22"/>
              </w:rPr>
              <w:t>0</w:t>
            </w:r>
          </w:p>
        </w:tc>
        <w:tc>
          <w:tcPr>
            <w:tcW w:w="1480" w:type="dxa"/>
            <w:tcBorders>
              <w:top w:val="nil"/>
              <w:left w:val="nil"/>
              <w:bottom w:val="single" w:sz="8" w:space="0" w:color="auto"/>
              <w:right w:val="single" w:sz="8" w:space="0" w:color="auto"/>
            </w:tcBorders>
            <w:shd w:val="clear" w:color="000000" w:fill="FDE9D9"/>
            <w:vAlign w:val="center"/>
            <w:hideMark/>
          </w:tcPr>
          <w:p w:rsidR="00461B54" w:rsidRPr="00844DF6" w:rsidRDefault="00461B54" w:rsidP="00461B54">
            <w:pPr>
              <w:jc w:val="center"/>
              <w:rPr>
                <w:b/>
                <w:bCs/>
                <w:color w:val="000000"/>
                <w:sz w:val="22"/>
                <w:szCs w:val="22"/>
              </w:rPr>
            </w:pPr>
            <w:r w:rsidRPr="00844DF6">
              <w:rPr>
                <w:b/>
                <w:bCs/>
                <w:color w:val="000000"/>
                <w:sz w:val="22"/>
                <w:szCs w:val="22"/>
              </w:rPr>
              <w:t>2</w:t>
            </w:r>
          </w:p>
        </w:tc>
      </w:tr>
    </w:tbl>
    <w:p w:rsidR="00AB4785" w:rsidRPr="00844DF6" w:rsidRDefault="00AB4785" w:rsidP="00FD3C1C">
      <w:pPr>
        <w:rPr>
          <w:b/>
          <w:color w:val="00B050"/>
          <w:sz w:val="20"/>
          <w:szCs w:val="20"/>
        </w:rPr>
      </w:pPr>
    </w:p>
    <w:p w:rsidR="00461B54" w:rsidRPr="00844DF6" w:rsidRDefault="00461B54" w:rsidP="00FD3C1C">
      <w:pPr>
        <w:rPr>
          <w:b/>
          <w:color w:val="00B050"/>
          <w:sz w:val="20"/>
          <w:szCs w:val="20"/>
        </w:rPr>
      </w:pPr>
    </w:p>
    <w:p w:rsidR="007B51F8" w:rsidRPr="00844DF6" w:rsidRDefault="000C51E1" w:rsidP="00FD3C1C">
      <w:pPr>
        <w:rPr>
          <w:b/>
          <w:sz w:val="22"/>
          <w:szCs w:val="22"/>
        </w:rPr>
      </w:pPr>
      <w:r w:rsidRPr="00844DF6">
        <w:rPr>
          <w:sz w:val="22"/>
          <w:szCs w:val="22"/>
        </w:rPr>
        <w:t>KEY:</w:t>
      </w:r>
      <w:r w:rsidRPr="00844DF6">
        <w:rPr>
          <w:sz w:val="22"/>
          <w:szCs w:val="22"/>
        </w:rPr>
        <w:tab/>
      </w:r>
      <w:r w:rsidRPr="00844DF6">
        <w:rPr>
          <w:b/>
          <w:color w:val="FF0000"/>
          <w:sz w:val="22"/>
          <w:szCs w:val="22"/>
        </w:rPr>
        <w:t>RED - Major (</w:t>
      </w:r>
      <w:proofErr w:type="spellStart"/>
      <w:r w:rsidRPr="00844DF6">
        <w:rPr>
          <w:b/>
          <w:color w:val="FF0000"/>
          <w:sz w:val="22"/>
          <w:szCs w:val="22"/>
        </w:rPr>
        <w:t>SoPS</w:t>
      </w:r>
      <w:proofErr w:type="spellEnd"/>
      <w:r w:rsidRPr="00844DF6">
        <w:rPr>
          <w:b/>
          <w:color w:val="FF0000"/>
          <w:sz w:val="22"/>
          <w:szCs w:val="22"/>
        </w:rPr>
        <w:t>)</w:t>
      </w:r>
      <w:r w:rsidRPr="00844DF6">
        <w:rPr>
          <w:b/>
          <w:sz w:val="22"/>
          <w:szCs w:val="22"/>
        </w:rPr>
        <w:tab/>
      </w:r>
      <w:r w:rsidRPr="00844DF6">
        <w:rPr>
          <w:b/>
          <w:sz w:val="22"/>
          <w:szCs w:val="22"/>
        </w:rPr>
        <w:tab/>
      </w:r>
      <w:r w:rsidRPr="00844DF6">
        <w:rPr>
          <w:b/>
          <w:color w:val="FFC000"/>
          <w:sz w:val="22"/>
          <w:szCs w:val="22"/>
        </w:rPr>
        <w:t>AMBER – Moderate</w:t>
      </w:r>
      <w:r w:rsidRPr="00844DF6">
        <w:rPr>
          <w:b/>
          <w:sz w:val="22"/>
          <w:szCs w:val="22"/>
        </w:rPr>
        <w:tab/>
      </w:r>
      <w:r w:rsidRPr="00844DF6">
        <w:rPr>
          <w:b/>
          <w:sz w:val="22"/>
          <w:szCs w:val="22"/>
        </w:rPr>
        <w:tab/>
      </w:r>
      <w:r w:rsidRPr="00844DF6">
        <w:rPr>
          <w:b/>
          <w:color w:val="00B050"/>
          <w:sz w:val="22"/>
          <w:szCs w:val="22"/>
        </w:rPr>
        <w:t>GREEN – Minor</w:t>
      </w:r>
    </w:p>
    <w:p w:rsidR="003B388B" w:rsidRPr="00844DF6" w:rsidRDefault="003B388B" w:rsidP="00CC2027">
      <w:pPr>
        <w:spacing w:line="276" w:lineRule="auto"/>
        <w:jc w:val="both"/>
      </w:pPr>
    </w:p>
    <w:p w:rsidR="00CC7920" w:rsidRPr="00844DF6" w:rsidRDefault="00705E1F" w:rsidP="00F80A46">
      <w:pPr>
        <w:spacing w:line="276" w:lineRule="auto"/>
        <w:jc w:val="both"/>
        <w:rPr>
          <w:sz w:val="22"/>
          <w:szCs w:val="22"/>
        </w:rPr>
      </w:pPr>
      <w:r w:rsidRPr="00844DF6">
        <w:rPr>
          <w:b/>
          <w:sz w:val="22"/>
          <w:szCs w:val="22"/>
        </w:rPr>
        <w:t>2</w:t>
      </w:r>
      <w:r w:rsidR="0047743E" w:rsidRPr="00844DF6">
        <w:rPr>
          <w:b/>
          <w:sz w:val="22"/>
          <w:szCs w:val="22"/>
        </w:rPr>
        <w:t>.</w:t>
      </w:r>
      <w:r w:rsidR="003B388B" w:rsidRPr="00844DF6">
        <w:rPr>
          <w:b/>
          <w:sz w:val="22"/>
          <w:szCs w:val="22"/>
        </w:rPr>
        <w:t>2</w:t>
      </w:r>
      <w:r w:rsidR="0047743E" w:rsidRPr="00844DF6">
        <w:rPr>
          <w:b/>
          <w:sz w:val="22"/>
          <w:szCs w:val="22"/>
        </w:rPr>
        <w:tab/>
      </w:r>
      <w:r w:rsidR="00F80A46" w:rsidRPr="00844DF6">
        <w:rPr>
          <w:b/>
          <w:sz w:val="22"/>
          <w:szCs w:val="22"/>
        </w:rPr>
        <w:t xml:space="preserve">SHE actions from </w:t>
      </w:r>
      <w:proofErr w:type="gramStart"/>
      <w:r w:rsidR="00F80A46" w:rsidRPr="00844DF6">
        <w:rPr>
          <w:b/>
          <w:sz w:val="22"/>
          <w:szCs w:val="22"/>
        </w:rPr>
        <w:t>SHE</w:t>
      </w:r>
      <w:proofErr w:type="gramEnd"/>
      <w:r w:rsidR="00F80A46" w:rsidRPr="00844DF6">
        <w:rPr>
          <w:b/>
          <w:sz w:val="22"/>
          <w:szCs w:val="22"/>
        </w:rPr>
        <w:t xml:space="preserve"> Assure </w:t>
      </w:r>
      <w:r w:rsidR="00F80A46" w:rsidRPr="00844DF6">
        <w:rPr>
          <w:rStyle w:val="Strong"/>
          <w:b w:val="0"/>
          <w:sz w:val="22"/>
          <w:szCs w:val="22"/>
        </w:rPr>
        <w:t xml:space="preserve">(as of </w:t>
      </w:r>
      <w:r w:rsidR="00312796" w:rsidRPr="00844DF6">
        <w:rPr>
          <w:rStyle w:val="Strong"/>
          <w:b w:val="0"/>
          <w:sz w:val="22"/>
          <w:szCs w:val="22"/>
        </w:rPr>
        <w:t>October</w:t>
      </w:r>
      <w:r w:rsidR="001D5F4C" w:rsidRPr="00844DF6">
        <w:rPr>
          <w:rStyle w:val="Strong"/>
          <w:b w:val="0"/>
          <w:sz w:val="22"/>
          <w:szCs w:val="22"/>
        </w:rPr>
        <w:t xml:space="preserve"> 20</w:t>
      </w:r>
      <w:r w:rsidR="00E81CA5" w:rsidRPr="00844DF6">
        <w:rPr>
          <w:rStyle w:val="Strong"/>
          <w:b w:val="0"/>
          <w:sz w:val="22"/>
          <w:szCs w:val="22"/>
        </w:rPr>
        <w:t>20</w:t>
      </w:r>
      <w:r w:rsidR="00F80A46" w:rsidRPr="00844DF6">
        <w:rPr>
          <w:sz w:val="22"/>
          <w:szCs w:val="22"/>
        </w:rPr>
        <w:t>)</w:t>
      </w:r>
    </w:p>
    <w:tbl>
      <w:tblPr>
        <w:tblpPr w:leftFromText="180" w:rightFromText="180" w:vertAnchor="text" w:horzAnchor="margin" w:tblpXSpec="center" w:tblpY="176"/>
        <w:tblW w:w="9204" w:type="dxa"/>
        <w:tblLayout w:type="fixed"/>
        <w:tblLook w:val="04A0" w:firstRow="1" w:lastRow="0" w:firstColumn="1" w:lastColumn="0" w:noHBand="0" w:noVBand="1"/>
      </w:tblPr>
      <w:tblGrid>
        <w:gridCol w:w="841"/>
        <w:gridCol w:w="850"/>
        <w:gridCol w:w="851"/>
        <w:gridCol w:w="850"/>
        <w:gridCol w:w="993"/>
        <w:gridCol w:w="850"/>
        <w:gridCol w:w="851"/>
        <w:gridCol w:w="992"/>
        <w:gridCol w:w="1134"/>
        <w:gridCol w:w="992"/>
      </w:tblGrid>
      <w:tr w:rsidR="00312796" w:rsidRPr="00844DF6" w:rsidTr="00312796">
        <w:trPr>
          <w:trHeight w:val="6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rsidR="00312796" w:rsidRPr="00844DF6" w:rsidRDefault="00312796" w:rsidP="00312796">
            <w:pPr>
              <w:jc w:val="center"/>
              <w:rPr>
                <w:color w:val="000000"/>
                <w:sz w:val="22"/>
                <w:szCs w:val="22"/>
              </w:rPr>
            </w:pPr>
            <w:r w:rsidRPr="00844DF6">
              <w:rPr>
                <w:color w:val="000000"/>
                <w:sz w:val="22"/>
                <w:szCs w:val="22"/>
              </w:rPr>
              <w:t>Risk Assessment Actions</w:t>
            </w:r>
          </w:p>
        </w:tc>
        <w:tc>
          <w:tcPr>
            <w:tcW w:w="17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rsidR="00312796" w:rsidRPr="00844DF6" w:rsidRDefault="00312796" w:rsidP="00312796">
            <w:pPr>
              <w:jc w:val="center"/>
              <w:rPr>
                <w:color w:val="000000"/>
                <w:sz w:val="22"/>
                <w:szCs w:val="22"/>
              </w:rPr>
            </w:pPr>
            <w:r w:rsidRPr="00844DF6">
              <w:rPr>
                <w:color w:val="000000"/>
                <w:sz w:val="22"/>
                <w:szCs w:val="22"/>
              </w:rPr>
              <w:t>SHE Incident Actions</w:t>
            </w:r>
          </w:p>
        </w:tc>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rsidR="00312796" w:rsidRPr="00844DF6" w:rsidRDefault="00312796" w:rsidP="00312796">
            <w:pPr>
              <w:jc w:val="center"/>
              <w:rPr>
                <w:color w:val="000000"/>
                <w:sz w:val="22"/>
                <w:szCs w:val="22"/>
              </w:rPr>
            </w:pPr>
            <w:r w:rsidRPr="00844DF6">
              <w:rPr>
                <w:color w:val="000000"/>
                <w:sz w:val="22"/>
                <w:szCs w:val="22"/>
              </w:rPr>
              <w:t>SHE Tour Actions</w:t>
            </w:r>
          </w:p>
        </w:tc>
        <w:tc>
          <w:tcPr>
            <w:tcW w:w="1843" w:type="dxa"/>
            <w:gridSpan w:val="2"/>
            <w:vMerge w:val="restart"/>
            <w:tcBorders>
              <w:top w:val="single" w:sz="8" w:space="0" w:color="000000"/>
              <w:left w:val="nil"/>
              <w:bottom w:val="single" w:sz="8" w:space="0" w:color="000000"/>
              <w:right w:val="single" w:sz="8" w:space="0" w:color="000000"/>
            </w:tcBorders>
            <w:shd w:val="clear" w:color="000000" w:fill="DBE5F1"/>
            <w:vAlign w:val="center"/>
            <w:hideMark/>
          </w:tcPr>
          <w:p w:rsidR="00312796" w:rsidRPr="00844DF6" w:rsidRDefault="00312796" w:rsidP="00312796">
            <w:pPr>
              <w:jc w:val="center"/>
              <w:rPr>
                <w:color w:val="000000"/>
                <w:sz w:val="22"/>
                <w:szCs w:val="22"/>
              </w:rPr>
            </w:pPr>
            <w:r w:rsidRPr="00844DF6">
              <w:rPr>
                <w:color w:val="000000"/>
                <w:sz w:val="22"/>
                <w:szCs w:val="22"/>
              </w:rPr>
              <w:t>SHE Audit Actions</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rsidR="00312796" w:rsidRPr="00844DF6" w:rsidRDefault="00312796" w:rsidP="00312796">
            <w:pPr>
              <w:jc w:val="center"/>
              <w:rPr>
                <w:color w:val="000000"/>
                <w:sz w:val="22"/>
                <w:szCs w:val="22"/>
              </w:rPr>
            </w:pPr>
            <w:r w:rsidRPr="00844DF6">
              <w:rPr>
                <w:color w:val="000000"/>
                <w:sz w:val="22"/>
                <w:szCs w:val="22"/>
              </w:rPr>
              <w:t>Fire Risk Assessment Actions</w:t>
            </w:r>
          </w:p>
        </w:tc>
      </w:tr>
      <w:tr w:rsidR="00312796" w:rsidRPr="00844DF6" w:rsidTr="00312796">
        <w:trPr>
          <w:trHeight w:val="300"/>
        </w:trPr>
        <w:tc>
          <w:tcPr>
            <w:tcW w:w="1691" w:type="dxa"/>
            <w:gridSpan w:val="2"/>
            <w:vMerge/>
            <w:tcBorders>
              <w:top w:val="single" w:sz="8" w:space="0" w:color="auto"/>
              <w:left w:val="single" w:sz="8" w:space="0" w:color="auto"/>
              <w:bottom w:val="single" w:sz="8" w:space="0" w:color="000000"/>
              <w:right w:val="single" w:sz="8" w:space="0" w:color="000000"/>
            </w:tcBorders>
            <w:vAlign w:val="center"/>
            <w:hideMark/>
          </w:tcPr>
          <w:p w:rsidR="00312796" w:rsidRPr="00844DF6" w:rsidRDefault="00312796" w:rsidP="00312796">
            <w:pPr>
              <w:rPr>
                <w:color w:val="000000"/>
                <w:sz w:val="22"/>
                <w:szCs w:val="22"/>
              </w:rPr>
            </w:pPr>
          </w:p>
        </w:tc>
        <w:tc>
          <w:tcPr>
            <w:tcW w:w="1701" w:type="dxa"/>
            <w:gridSpan w:val="2"/>
            <w:vMerge/>
            <w:tcBorders>
              <w:top w:val="single" w:sz="8" w:space="0" w:color="auto"/>
              <w:left w:val="single" w:sz="8" w:space="0" w:color="auto"/>
              <w:bottom w:val="single" w:sz="8" w:space="0" w:color="000000"/>
              <w:right w:val="single" w:sz="8" w:space="0" w:color="000000"/>
            </w:tcBorders>
            <w:vAlign w:val="center"/>
            <w:hideMark/>
          </w:tcPr>
          <w:p w:rsidR="00312796" w:rsidRPr="00844DF6" w:rsidRDefault="00312796" w:rsidP="00312796">
            <w:pPr>
              <w:rPr>
                <w:color w:val="000000"/>
                <w:sz w:val="22"/>
                <w:szCs w:val="22"/>
              </w:rPr>
            </w:pPr>
          </w:p>
        </w:tc>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12796" w:rsidRPr="00844DF6" w:rsidRDefault="00312796" w:rsidP="00312796">
            <w:pPr>
              <w:rPr>
                <w:color w:val="000000"/>
                <w:sz w:val="22"/>
                <w:szCs w:val="22"/>
              </w:rPr>
            </w:pPr>
          </w:p>
        </w:tc>
        <w:tc>
          <w:tcPr>
            <w:tcW w:w="1843" w:type="dxa"/>
            <w:gridSpan w:val="2"/>
            <w:vMerge/>
            <w:tcBorders>
              <w:top w:val="single" w:sz="8" w:space="0" w:color="000000"/>
              <w:left w:val="nil"/>
              <w:bottom w:val="single" w:sz="8" w:space="0" w:color="000000"/>
              <w:right w:val="single" w:sz="8" w:space="0" w:color="000000"/>
            </w:tcBorders>
            <w:vAlign w:val="center"/>
            <w:hideMark/>
          </w:tcPr>
          <w:p w:rsidR="00312796" w:rsidRPr="00844DF6" w:rsidRDefault="00312796" w:rsidP="00312796">
            <w:pPr>
              <w:rPr>
                <w:color w:val="000000"/>
                <w:sz w:val="22"/>
                <w:szCs w:val="22"/>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312796" w:rsidRPr="00844DF6" w:rsidRDefault="00312796" w:rsidP="00312796">
            <w:pPr>
              <w:rPr>
                <w:color w:val="000000"/>
                <w:sz w:val="22"/>
                <w:szCs w:val="22"/>
              </w:rPr>
            </w:pPr>
          </w:p>
        </w:tc>
      </w:tr>
      <w:tr w:rsidR="00312796" w:rsidRPr="00844DF6" w:rsidTr="00312796">
        <w:trPr>
          <w:trHeight w:val="324"/>
        </w:trPr>
        <w:tc>
          <w:tcPr>
            <w:tcW w:w="841"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12796" w:rsidRPr="00844DF6" w:rsidRDefault="00312796" w:rsidP="00312796">
            <w:pPr>
              <w:rPr>
                <w:color w:val="000000"/>
                <w:sz w:val="22"/>
                <w:szCs w:val="22"/>
              </w:rPr>
            </w:pPr>
            <w:r w:rsidRPr="00844DF6">
              <w:rPr>
                <w:color w:val="000000"/>
                <w:sz w:val="22"/>
                <w:szCs w:val="22"/>
              </w:rPr>
              <w:t> </w:t>
            </w:r>
          </w:p>
        </w:tc>
        <w:tc>
          <w:tcPr>
            <w:tcW w:w="850" w:type="dxa"/>
            <w:tcBorders>
              <w:top w:val="nil"/>
              <w:left w:val="nil"/>
              <w:bottom w:val="single" w:sz="8" w:space="0" w:color="auto"/>
              <w:right w:val="single" w:sz="8" w:space="0" w:color="auto"/>
            </w:tcBorders>
            <w:shd w:val="clear" w:color="auto" w:fill="D9D9D9" w:themeFill="background1" w:themeFillShade="D9"/>
            <w:vAlign w:val="center"/>
            <w:hideMark/>
          </w:tcPr>
          <w:p w:rsidR="00312796" w:rsidRPr="00844DF6" w:rsidRDefault="00312796" w:rsidP="00312796">
            <w:pPr>
              <w:jc w:val="center"/>
              <w:rPr>
                <w:color w:val="FF0000"/>
                <w:sz w:val="22"/>
                <w:szCs w:val="22"/>
              </w:rPr>
            </w:pPr>
            <w:r w:rsidRPr="00844DF6">
              <w:rPr>
                <w:color w:val="FF0000"/>
                <w:sz w:val="22"/>
                <w:szCs w:val="22"/>
              </w:rPr>
              <w:t> </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rsidR="00312796" w:rsidRPr="00844DF6" w:rsidRDefault="00312796" w:rsidP="00312796">
            <w:pPr>
              <w:jc w:val="center"/>
              <w:rPr>
                <w:color w:val="000000"/>
                <w:sz w:val="22"/>
                <w:szCs w:val="22"/>
              </w:rPr>
            </w:pPr>
            <w:r w:rsidRPr="00844DF6">
              <w:rPr>
                <w:color w:val="000000"/>
                <w:sz w:val="22"/>
                <w:szCs w:val="22"/>
              </w:rPr>
              <w:t> </w:t>
            </w:r>
          </w:p>
        </w:tc>
        <w:tc>
          <w:tcPr>
            <w:tcW w:w="850" w:type="dxa"/>
            <w:tcBorders>
              <w:top w:val="nil"/>
              <w:left w:val="nil"/>
              <w:bottom w:val="single" w:sz="8" w:space="0" w:color="000000"/>
              <w:right w:val="nil"/>
            </w:tcBorders>
            <w:shd w:val="clear" w:color="auto" w:fill="D9D9D9" w:themeFill="background1" w:themeFillShade="D9"/>
            <w:vAlign w:val="center"/>
            <w:hideMark/>
          </w:tcPr>
          <w:p w:rsidR="00312796" w:rsidRPr="00844DF6" w:rsidRDefault="00312796" w:rsidP="00312796">
            <w:pPr>
              <w:jc w:val="center"/>
              <w:rPr>
                <w:color w:val="FF0000"/>
                <w:sz w:val="22"/>
                <w:szCs w:val="22"/>
              </w:rPr>
            </w:pPr>
            <w:r w:rsidRPr="00844DF6">
              <w:rPr>
                <w:color w:val="FF0000"/>
                <w:sz w:val="22"/>
                <w:szCs w:val="22"/>
              </w:rPr>
              <w:t> </w:t>
            </w:r>
          </w:p>
        </w:tc>
        <w:tc>
          <w:tcPr>
            <w:tcW w:w="993"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312796" w:rsidRPr="00844DF6" w:rsidRDefault="00312796" w:rsidP="00312796">
            <w:pPr>
              <w:jc w:val="center"/>
              <w:rPr>
                <w:color w:val="000000"/>
                <w:sz w:val="22"/>
                <w:szCs w:val="22"/>
              </w:rPr>
            </w:pPr>
            <w:r w:rsidRPr="00844DF6">
              <w:rPr>
                <w:color w:val="000000"/>
                <w:sz w:val="22"/>
                <w:szCs w:val="22"/>
              </w:rPr>
              <w:t> </w:t>
            </w:r>
          </w:p>
        </w:tc>
        <w:tc>
          <w:tcPr>
            <w:tcW w:w="850" w:type="dxa"/>
            <w:tcBorders>
              <w:top w:val="nil"/>
              <w:left w:val="nil"/>
              <w:bottom w:val="single" w:sz="8" w:space="0" w:color="auto"/>
              <w:right w:val="single" w:sz="8" w:space="0" w:color="auto"/>
            </w:tcBorders>
            <w:shd w:val="clear" w:color="auto" w:fill="D9D9D9" w:themeFill="background1" w:themeFillShade="D9"/>
            <w:vAlign w:val="center"/>
            <w:hideMark/>
          </w:tcPr>
          <w:p w:rsidR="00312796" w:rsidRPr="00844DF6" w:rsidRDefault="00312796" w:rsidP="00312796">
            <w:pPr>
              <w:jc w:val="center"/>
              <w:rPr>
                <w:color w:val="FF0000"/>
                <w:sz w:val="22"/>
                <w:szCs w:val="22"/>
              </w:rPr>
            </w:pPr>
            <w:r w:rsidRPr="00844DF6">
              <w:rPr>
                <w:color w:val="FF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rsidR="00312796" w:rsidRPr="00844DF6" w:rsidRDefault="00312796" w:rsidP="00312796">
            <w:pPr>
              <w:jc w:val="center"/>
              <w:rPr>
                <w:color w:val="000000"/>
                <w:sz w:val="22"/>
                <w:szCs w:val="22"/>
              </w:rPr>
            </w:pPr>
            <w:r w:rsidRPr="00844DF6">
              <w:rPr>
                <w:color w:val="000000"/>
                <w:sz w:val="22"/>
                <w:szCs w:val="22"/>
              </w:rPr>
              <w:t>5</w:t>
            </w:r>
          </w:p>
        </w:tc>
        <w:tc>
          <w:tcPr>
            <w:tcW w:w="992" w:type="dxa"/>
            <w:tcBorders>
              <w:top w:val="nil"/>
              <w:left w:val="nil"/>
              <w:bottom w:val="single" w:sz="8" w:space="0" w:color="000000"/>
              <w:right w:val="single" w:sz="8" w:space="0" w:color="000000"/>
            </w:tcBorders>
            <w:shd w:val="clear" w:color="auto" w:fill="auto"/>
            <w:vAlign w:val="center"/>
            <w:hideMark/>
          </w:tcPr>
          <w:p w:rsidR="00312796" w:rsidRPr="00844DF6" w:rsidRDefault="00312796" w:rsidP="00312796">
            <w:pPr>
              <w:jc w:val="center"/>
              <w:rPr>
                <w:color w:val="FF0000"/>
                <w:sz w:val="22"/>
                <w:szCs w:val="22"/>
              </w:rPr>
            </w:pPr>
            <w:r w:rsidRPr="00844DF6">
              <w:rPr>
                <w:color w:val="FF0000"/>
                <w:sz w:val="22"/>
                <w:szCs w:val="22"/>
              </w:rPr>
              <w:t>1</w:t>
            </w:r>
          </w:p>
        </w:tc>
        <w:tc>
          <w:tcPr>
            <w:tcW w:w="1134" w:type="dxa"/>
            <w:tcBorders>
              <w:top w:val="nil"/>
              <w:left w:val="nil"/>
              <w:bottom w:val="single" w:sz="8" w:space="0" w:color="000000"/>
              <w:right w:val="single" w:sz="8" w:space="0" w:color="000000"/>
            </w:tcBorders>
            <w:shd w:val="clear" w:color="auto" w:fill="D9D9D9" w:themeFill="background1" w:themeFillShade="D9"/>
            <w:vAlign w:val="center"/>
            <w:hideMark/>
          </w:tcPr>
          <w:p w:rsidR="00312796" w:rsidRPr="00844DF6" w:rsidRDefault="00312796" w:rsidP="00312796">
            <w:pPr>
              <w:jc w:val="center"/>
              <w:rPr>
                <w:color w:val="000000"/>
                <w:sz w:val="22"/>
                <w:szCs w:val="22"/>
              </w:rPr>
            </w:pPr>
            <w:r w:rsidRPr="00844DF6">
              <w:rPr>
                <w:color w:val="000000"/>
                <w:sz w:val="22"/>
                <w:szCs w:val="22"/>
              </w:rPr>
              <w:t> </w:t>
            </w:r>
          </w:p>
        </w:tc>
        <w:tc>
          <w:tcPr>
            <w:tcW w:w="992" w:type="dxa"/>
            <w:tcBorders>
              <w:top w:val="nil"/>
              <w:left w:val="nil"/>
              <w:bottom w:val="single" w:sz="8" w:space="0" w:color="000000"/>
              <w:right w:val="single" w:sz="8" w:space="0" w:color="000000"/>
            </w:tcBorders>
            <w:shd w:val="clear" w:color="auto" w:fill="D9D9D9" w:themeFill="background1" w:themeFillShade="D9"/>
            <w:noWrap/>
            <w:vAlign w:val="center"/>
            <w:hideMark/>
          </w:tcPr>
          <w:p w:rsidR="00312796" w:rsidRPr="00844DF6" w:rsidRDefault="00312796" w:rsidP="00312796">
            <w:pPr>
              <w:jc w:val="center"/>
              <w:rPr>
                <w:color w:val="FF0000"/>
                <w:sz w:val="22"/>
                <w:szCs w:val="22"/>
              </w:rPr>
            </w:pPr>
            <w:r w:rsidRPr="00844DF6">
              <w:rPr>
                <w:color w:val="FF0000"/>
                <w:sz w:val="22"/>
                <w:szCs w:val="22"/>
              </w:rPr>
              <w:t> </w:t>
            </w:r>
          </w:p>
        </w:tc>
      </w:tr>
    </w:tbl>
    <w:p w:rsidR="00312796" w:rsidRPr="00844DF6" w:rsidRDefault="00312796" w:rsidP="00312796">
      <w:pPr>
        <w:pStyle w:val="BodyText"/>
        <w:spacing w:after="0"/>
        <w:rPr>
          <w:rFonts w:ascii="Arial" w:hAnsi="Arial"/>
          <w:b/>
          <w:sz w:val="22"/>
          <w:szCs w:val="22"/>
        </w:rPr>
      </w:pPr>
    </w:p>
    <w:p w:rsidR="00312796" w:rsidRPr="00844DF6" w:rsidRDefault="00312796" w:rsidP="00312796">
      <w:pPr>
        <w:pStyle w:val="BodyText"/>
        <w:spacing w:after="0"/>
        <w:jc w:val="center"/>
        <w:rPr>
          <w:rFonts w:ascii="Arial" w:hAnsi="Arial"/>
          <w:b/>
          <w:color w:val="FF0000"/>
          <w:sz w:val="22"/>
          <w:szCs w:val="22"/>
        </w:rPr>
      </w:pPr>
      <w:r w:rsidRPr="00844DF6">
        <w:rPr>
          <w:rFonts w:ascii="Arial" w:hAnsi="Arial"/>
          <w:b/>
          <w:sz w:val="22"/>
          <w:szCs w:val="22"/>
        </w:rPr>
        <w:t>No entry – no data</w:t>
      </w:r>
      <w:r w:rsidRPr="00844DF6">
        <w:rPr>
          <w:rFonts w:ascii="Arial" w:hAnsi="Arial"/>
          <w:b/>
          <w:sz w:val="22"/>
          <w:szCs w:val="22"/>
        </w:rPr>
        <w:tab/>
      </w:r>
      <w:r w:rsidRPr="00844DF6">
        <w:rPr>
          <w:rFonts w:ascii="Arial" w:hAnsi="Arial"/>
          <w:b/>
          <w:sz w:val="22"/>
          <w:szCs w:val="22"/>
        </w:rPr>
        <w:tab/>
        <w:t>Black - Due</w:t>
      </w:r>
      <w:r w:rsidRPr="00844DF6">
        <w:rPr>
          <w:rFonts w:ascii="Arial" w:hAnsi="Arial"/>
          <w:b/>
          <w:sz w:val="22"/>
          <w:szCs w:val="22"/>
        </w:rPr>
        <w:tab/>
      </w:r>
      <w:r w:rsidRPr="00844DF6">
        <w:rPr>
          <w:rFonts w:ascii="Arial" w:hAnsi="Arial"/>
          <w:b/>
          <w:sz w:val="22"/>
          <w:szCs w:val="22"/>
        </w:rPr>
        <w:tab/>
      </w:r>
      <w:r w:rsidRPr="00844DF6">
        <w:rPr>
          <w:rFonts w:ascii="Arial" w:hAnsi="Arial"/>
          <w:b/>
          <w:color w:val="FF0000"/>
          <w:sz w:val="22"/>
          <w:szCs w:val="22"/>
        </w:rPr>
        <w:t>Red – Overdue</w:t>
      </w:r>
    </w:p>
    <w:p w:rsidR="00317E6A" w:rsidRPr="00844DF6" w:rsidRDefault="00317E6A" w:rsidP="00317E6A">
      <w:pPr>
        <w:spacing w:line="276" w:lineRule="auto"/>
        <w:jc w:val="both"/>
        <w:rPr>
          <w:sz w:val="22"/>
          <w:szCs w:val="22"/>
          <w:u w:val="single"/>
        </w:rPr>
      </w:pPr>
    </w:p>
    <w:p w:rsidR="00317E6A" w:rsidRPr="00844DF6" w:rsidRDefault="00317E6A" w:rsidP="00317E6A">
      <w:pPr>
        <w:spacing w:line="276" w:lineRule="auto"/>
        <w:jc w:val="both"/>
        <w:rPr>
          <w:sz w:val="22"/>
          <w:szCs w:val="22"/>
          <w:u w:val="single"/>
        </w:rPr>
      </w:pPr>
      <w:r w:rsidRPr="00844DF6">
        <w:rPr>
          <w:sz w:val="22"/>
          <w:szCs w:val="22"/>
          <w:u w:val="single"/>
        </w:rPr>
        <w:t>Full data available - Y:\STFC SHE Statistics – New format\FY 2020\Q2 report data</w:t>
      </w:r>
    </w:p>
    <w:p w:rsidR="00312796" w:rsidRPr="00844DF6" w:rsidRDefault="00312796" w:rsidP="00CC7920">
      <w:pPr>
        <w:spacing w:line="276" w:lineRule="auto"/>
        <w:jc w:val="both"/>
        <w:rPr>
          <w:sz w:val="22"/>
          <w:szCs w:val="22"/>
        </w:rPr>
      </w:pPr>
    </w:p>
    <w:p w:rsidR="00312796" w:rsidRPr="00844DF6" w:rsidRDefault="00312796" w:rsidP="00CC7920">
      <w:pPr>
        <w:spacing w:line="276" w:lineRule="auto"/>
        <w:jc w:val="both"/>
        <w:rPr>
          <w:rStyle w:val="Strong"/>
          <w:bCs w:val="0"/>
          <w:sz w:val="22"/>
          <w:szCs w:val="22"/>
        </w:rPr>
      </w:pPr>
    </w:p>
    <w:p w:rsidR="00F80A46" w:rsidRPr="00844DF6" w:rsidRDefault="00705E1F" w:rsidP="006100B4">
      <w:pPr>
        <w:rPr>
          <w:rStyle w:val="Strong"/>
          <w:b w:val="0"/>
          <w:bCs w:val="0"/>
          <w:sz w:val="22"/>
          <w:szCs w:val="22"/>
        </w:rPr>
      </w:pPr>
      <w:r w:rsidRPr="00844DF6">
        <w:rPr>
          <w:rStyle w:val="Strong"/>
          <w:sz w:val="22"/>
          <w:szCs w:val="22"/>
        </w:rPr>
        <w:t>2</w:t>
      </w:r>
      <w:r w:rsidR="0047743E" w:rsidRPr="00844DF6">
        <w:rPr>
          <w:rStyle w:val="Strong"/>
          <w:sz w:val="22"/>
          <w:szCs w:val="22"/>
        </w:rPr>
        <w:t>.</w:t>
      </w:r>
      <w:r w:rsidR="003B388B" w:rsidRPr="00844DF6">
        <w:rPr>
          <w:rStyle w:val="Strong"/>
          <w:sz w:val="22"/>
          <w:szCs w:val="22"/>
        </w:rPr>
        <w:t>3</w:t>
      </w:r>
      <w:r w:rsidR="0047743E" w:rsidRPr="00844DF6">
        <w:rPr>
          <w:rStyle w:val="Strong"/>
          <w:sz w:val="22"/>
          <w:szCs w:val="22"/>
        </w:rPr>
        <w:tab/>
      </w:r>
      <w:r w:rsidR="009E4813" w:rsidRPr="00844DF6">
        <w:rPr>
          <w:rStyle w:val="Strong"/>
          <w:sz w:val="22"/>
          <w:szCs w:val="22"/>
        </w:rPr>
        <w:t>Risk A</w:t>
      </w:r>
      <w:r w:rsidR="00F80A46" w:rsidRPr="00844DF6">
        <w:rPr>
          <w:rStyle w:val="Strong"/>
          <w:sz w:val="22"/>
          <w:szCs w:val="22"/>
        </w:rPr>
        <w:t xml:space="preserve">ssessments </w:t>
      </w:r>
      <w:r w:rsidR="005E5786" w:rsidRPr="00844DF6">
        <w:rPr>
          <w:rStyle w:val="Strong"/>
          <w:sz w:val="22"/>
          <w:szCs w:val="22"/>
        </w:rPr>
        <w:t xml:space="preserve">from SHE Assure </w:t>
      </w:r>
      <w:r w:rsidR="00E81CA5" w:rsidRPr="00844DF6">
        <w:rPr>
          <w:rStyle w:val="Strong"/>
          <w:b w:val="0"/>
          <w:sz w:val="22"/>
          <w:szCs w:val="22"/>
        </w:rPr>
        <w:t>(as of</w:t>
      </w:r>
      <w:r w:rsidR="001D5F4C" w:rsidRPr="00844DF6">
        <w:rPr>
          <w:rStyle w:val="Strong"/>
          <w:b w:val="0"/>
          <w:sz w:val="22"/>
          <w:szCs w:val="22"/>
        </w:rPr>
        <w:t xml:space="preserve"> </w:t>
      </w:r>
      <w:r w:rsidR="00312796" w:rsidRPr="00844DF6">
        <w:rPr>
          <w:rStyle w:val="Strong"/>
          <w:b w:val="0"/>
          <w:sz w:val="22"/>
          <w:szCs w:val="22"/>
        </w:rPr>
        <w:t>October</w:t>
      </w:r>
      <w:r w:rsidR="008B5047" w:rsidRPr="00844DF6">
        <w:rPr>
          <w:rStyle w:val="Strong"/>
          <w:b w:val="0"/>
          <w:sz w:val="22"/>
          <w:szCs w:val="22"/>
        </w:rPr>
        <w:t xml:space="preserve"> 20</w:t>
      </w:r>
      <w:r w:rsidR="00E81CA5" w:rsidRPr="00844DF6">
        <w:rPr>
          <w:rStyle w:val="Strong"/>
          <w:b w:val="0"/>
          <w:sz w:val="22"/>
          <w:szCs w:val="22"/>
        </w:rPr>
        <w:t>20</w:t>
      </w:r>
      <w:r w:rsidR="00F80A46" w:rsidRPr="00844DF6">
        <w:rPr>
          <w:sz w:val="22"/>
          <w:szCs w:val="22"/>
        </w:rPr>
        <w:t>)</w:t>
      </w:r>
      <w:r w:rsidR="00F80A46" w:rsidRPr="00844DF6">
        <w:rPr>
          <w:sz w:val="22"/>
          <w:szCs w:val="22"/>
        </w:rPr>
        <w:br/>
      </w:r>
    </w:p>
    <w:tbl>
      <w:tblPr>
        <w:tblW w:w="6520" w:type="dxa"/>
        <w:jc w:val="center"/>
        <w:tblLook w:val="04A0" w:firstRow="1" w:lastRow="0" w:firstColumn="1" w:lastColumn="0" w:noHBand="0" w:noVBand="1"/>
      </w:tblPr>
      <w:tblGrid>
        <w:gridCol w:w="2040"/>
        <w:gridCol w:w="2240"/>
        <w:gridCol w:w="2240"/>
      </w:tblGrid>
      <w:tr w:rsidR="0072178B" w:rsidRPr="00844DF6" w:rsidTr="0072178B">
        <w:trPr>
          <w:trHeight w:val="615"/>
          <w:jc w:val="center"/>
        </w:trPr>
        <w:tc>
          <w:tcPr>
            <w:tcW w:w="2040" w:type="dxa"/>
            <w:tcBorders>
              <w:top w:val="single" w:sz="8" w:space="0" w:color="auto"/>
              <w:left w:val="single" w:sz="8" w:space="0" w:color="auto"/>
              <w:bottom w:val="single" w:sz="8" w:space="0" w:color="000000"/>
              <w:right w:val="single" w:sz="8" w:space="0" w:color="000000"/>
            </w:tcBorders>
            <w:shd w:val="clear" w:color="000000" w:fill="DCE6F1"/>
            <w:vAlign w:val="center"/>
            <w:hideMark/>
          </w:tcPr>
          <w:p w:rsidR="0072178B" w:rsidRPr="00844DF6" w:rsidRDefault="0072178B" w:rsidP="0072178B">
            <w:pPr>
              <w:jc w:val="center"/>
              <w:rPr>
                <w:rFonts w:ascii="Calibri" w:hAnsi="Calibri" w:cs="Calibri"/>
                <w:color w:val="000000"/>
                <w:sz w:val="22"/>
                <w:szCs w:val="22"/>
              </w:rPr>
            </w:pPr>
            <w:r w:rsidRPr="00844DF6">
              <w:rPr>
                <w:rFonts w:ascii="Calibri" w:hAnsi="Calibri" w:cs="Calibri"/>
                <w:color w:val="000000"/>
                <w:sz w:val="22"/>
                <w:szCs w:val="22"/>
              </w:rPr>
              <w:t>Number of live  Assessments</w:t>
            </w:r>
          </w:p>
        </w:tc>
        <w:tc>
          <w:tcPr>
            <w:tcW w:w="2240" w:type="dxa"/>
            <w:tcBorders>
              <w:top w:val="single" w:sz="8" w:space="0" w:color="auto"/>
              <w:left w:val="nil"/>
              <w:bottom w:val="single" w:sz="8" w:space="0" w:color="000000"/>
              <w:right w:val="single" w:sz="8" w:space="0" w:color="000000"/>
            </w:tcBorders>
            <w:shd w:val="clear" w:color="000000" w:fill="DCE6F1"/>
            <w:vAlign w:val="center"/>
            <w:hideMark/>
          </w:tcPr>
          <w:p w:rsidR="0072178B" w:rsidRPr="00844DF6" w:rsidRDefault="0072178B" w:rsidP="0072178B">
            <w:pPr>
              <w:jc w:val="center"/>
              <w:rPr>
                <w:rFonts w:ascii="Calibri" w:hAnsi="Calibri" w:cs="Calibri"/>
                <w:color w:val="000000"/>
                <w:sz w:val="22"/>
                <w:szCs w:val="22"/>
              </w:rPr>
            </w:pPr>
            <w:r w:rsidRPr="00844DF6">
              <w:rPr>
                <w:rFonts w:ascii="Calibri" w:hAnsi="Calibri" w:cs="Calibri"/>
                <w:color w:val="000000"/>
                <w:sz w:val="22"/>
                <w:szCs w:val="22"/>
              </w:rPr>
              <w:t>Number overdue review now</w:t>
            </w:r>
          </w:p>
        </w:tc>
        <w:tc>
          <w:tcPr>
            <w:tcW w:w="2240" w:type="dxa"/>
            <w:tcBorders>
              <w:top w:val="single" w:sz="8" w:space="0" w:color="auto"/>
              <w:left w:val="nil"/>
              <w:bottom w:val="single" w:sz="8" w:space="0" w:color="000000"/>
              <w:right w:val="single" w:sz="8" w:space="0" w:color="auto"/>
            </w:tcBorders>
            <w:shd w:val="clear" w:color="000000" w:fill="DCE6F1"/>
            <w:vAlign w:val="center"/>
            <w:hideMark/>
          </w:tcPr>
          <w:p w:rsidR="0072178B" w:rsidRPr="00844DF6" w:rsidRDefault="0072178B" w:rsidP="0072178B">
            <w:pPr>
              <w:jc w:val="center"/>
              <w:rPr>
                <w:rFonts w:ascii="Calibri" w:hAnsi="Calibri" w:cs="Calibri"/>
                <w:color w:val="000000"/>
                <w:sz w:val="22"/>
                <w:szCs w:val="22"/>
              </w:rPr>
            </w:pPr>
            <w:r w:rsidRPr="00844DF6">
              <w:rPr>
                <w:rFonts w:ascii="Calibri" w:hAnsi="Calibri" w:cs="Calibri"/>
                <w:color w:val="000000"/>
                <w:sz w:val="22"/>
                <w:szCs w:val="22"/>
              </w:rPr>
              <w:t>Number due for review in next Q</w:t>
            </w:r>
          </w:p>
        </w:tc>
      </w:tr>
      <w:tr w:rsidR="0072178B" w:rsidRPr="00844DF6" w:rsidTr="0072178B">
        <w:trPr>
          <w:trHeight w:val="300"/>
          <w:jc w:val="center"/>
        </w:trPr>
        <w:tc>
          <w:tcPr>
            <w:tcW w:w="2040" w:type="dxa"/>
            <w:tcBorders>
              <w:top w:val="nil"/>
              <w:left w:val="single" w:sz="8" w:space="0" w:color="auto"/>
              <w:bottom w:val="single" w:sz="8" w:space="0" w:color="auto"/>
              <w:right w:val="single" w:sz="8" w:space="0" w:color="000000"/>
            </w:tcBorders>
            <w:shd w:val="clear" w:color="auto" w:fill="auto"/>
            <w:vAlign w:val="center"/>
            <w:hideMark/>
          </w:tcPr>
          <w:p w:rsidR="0072178B" w:rsidRPr="00844DF6" w:rsidRDefault="0072178B" w:rsidP="0072178B">
            <w:pPr>
              <w:jc w:val="center"/>
              <w:rPr>
                <w:rFonts w:ascii="Calibri" w:hAnsi="Calibri" w:cs="Calibri"/>
                <w:color w:val="000000"/>
              </w:rPr>
            </w:pPr>
            <w:r w:rsidRPr="00844DF6">
              <w:rPr>
                <w:rFonts w:ascii="Calibri" w:hAnsi="Calibri" w:cs="Calibri"/>
                <w:color w:val="000000"/>
              </w:rPr>
              <w:t>3</w:t>
            </w:r>
            <w:r w:rsidR="00312796" w:rsidRPr="00844DF6">
              <w:rPr>
                <w:rFonts w:ascii="Calibri" w:hAnsi="Calibri" w:cs="Calibri"/>
                <w:color w:val="000000"/>
              </w:rPr>
              <w:t>5</w:t>
            </w:r>
          </w:p>
        </w:tc>
        <w:tc>
          <w:tcPr>
            <w:tcW w:w="2240" w:type="dxa"/>
            <w:tcBorders>
              <w:top w:val="nil"/>
              <w:left w:val="nil"/>
              <w:bottom w:val="single" w:sz="8" w:space="0" w:color="auto"/>
              <w:right w:val="single" w:sz="8" w:space="0" w:color="000000"/>
            </w:tcBorders>
            <w:shd w:val="clear" w:color="auto" w:fill="auto"/>
            <w:noWrap/>
            <w:vAlign w:val="center"/>
            <w:hideMark/>
          </w:tcPr>
          <w:p w:rsidR="0072178B" w:rsidRPr="00844DF6" w:rsidRDefault="0072178B" w:rsidP="0072178B">
            <w:pPr>
              <w:jc w:val="center"/>
              <w:rPr>
                <w:rFonts w:ascii="Calibri" w:hAnsi="Calibri" w:cs="Calibri"/>
                <w:color w:val="FF0000"/>
              </w:rPr>
            </w:pPr>
            <w:r w:rsidRPr="00844DF6">
              <w:rPr>
                <w:rFonts w:ascii="Calibri" w:hAnsi="Calibri" w:cs="Calibri"/>
                <w:color w:val="FF0000"/>
              </w:rPr>
              <w:t>2</w:t>
            </w:r>
          </w:p>
        </w:tc>
        <w:tc>
          <w:tcPr>
            <w:tcW w:w="2240" w:type="dxa"/>
            <w:tcBorders>
              <w:top w:val="nil"/>
              <w:left w:val="nil"/>
              <w:bottom w:val="single" w:sz="8" w:space="0" w:color="auto"/>
              <w:right w:val="single" w:sz="8" w:space="0" w:color="000000"/>
            </w:tcBorders>
            <w:shd w:val="clear" w:color="auto" w:fill="auto"/>
            <w:noWrap/>
            <w:vAlign w:val="center"/>
            <w:hideMark/>
          </w:tcPr>
          <w:p w:rsidR="0072178B" w:rsidRPr="00844DF6" w:rsidRDefault="00312796" w:rsidP="0072178B">
            <w:pPr>
              <w:jc w:val="center"/>
              <w:rPr>
                <w:rFonts w:ascii="Calibri" w:hAnsi="Calibri" w:cs="Calibri"/>
                <w:color w:val="FFC000"/>
              </w:rPr>
            </w:pPr>
            <w:r w:rsidRPr="00844DF6">
              <w:rPr>
                <w:rFonts w:ascii="Calibri" w:hAnsi="Calibri" w:cs="Calibri"/>
                <w:color w:val="FFC000"/>
              </w:rPr>
              <w:t>0</w:t>
            </w:r>
          </w:p>
        </w:tc>
      </w:tr>
    </w:tbl>
    <w:p w:rsidR="003029F2" w:rsidRPr="00844DF6" w:rsidRDefault="003029F2" w:rsidP="005213DF">
      <w:pPr>
        <w:rPr>
          <w:b/>
          <w:sz w:val="22"/>
          <w:szCs w:val="22"/>
        </w:rPr>
      </w:pPr>
    </w:p>
    <w:p w:rsidR="008D00BD" w:rsidRPr="00844DF6" w:rsidRDefault="008D00BD" w:rsidP="005213DF">
      <w:pPr>
        <w:rPr>
          <w:sz w:val="22"/>
          <w:szCs w:val="22"/>
        </w:rPr>
      </w:pPr>
      <w:r w:rsidRPr="00844DF6">
        <w:rPr>
          <w:sz w:val="22"/>
          <w:szCs w:val="22"/>
        </w:rPr>
        <w:t>See appendix 1. For details of risk assessments that are overdue or due in next quarter.</w:t>
      </w:r>
    </w:p>
    <w:p w:rsidR="00317E6A" w:rsidRPr="00844DF6" w:rsidRDefault="00317E6A" w:rsidP="005213DF">
      <w:pPr>
        <w:rPr>
          <w:sz w:val="22"/>
          <w:szCs w:val="22"/>
        </w:rPr>
      </w:pPr>
    </w:p>
    <w:p w:rsidR="00317E6A" w:rsidRPr="00844DF6" w:rsidRDefault="00317E6A" w:rsidP="00317E6A">
      <w:pPr>
        <w:spacing w:line="276" w:lineRule="auto"/>
        <w:jc w:val="both"/>
        <w:rPr>
          <w:sz w:val="22"/>
          <w:szCs w:val="22"/>
          <w:u w:val="single"/>
        </w:rPr>
      </w:pPr>
      <w:r w:rsidRPr="00844DF6">
        <w:rPr>
          <w:sz w:val="22"/>
          <w:szCs w:val="22"/>
          <w:u w:val="single"/>
        </w:rPr>
        <w:t>Full data available - Y:\STFC SHE Statistics – New format\FY 2020\Q2 report data</w:t>
      </w:r>
    </w:p>
    <w:p w:rsidR="00317E6A" w:rsidRPr="00844DF6" w:rsidRDefault="00317E6A" w:rsidP="005213DF">
      <w:pPr>
        <w:rPr>
          <w:sz w:val="22"/>
          <w:szCs w:val="22"/>
        </w:rPr>
      </w:pPr>
    </w:p>
    <w:p w:rsidR="00844DF6" w:rsidRDefault="00844DF6">
      <w:pPr>
        <w:rPr>
          <w:b/>
          <w:sz w:val="22"/>
          <w:szCs w:val="22"/>
        </w:rPr>
      </w:pPr>
      <w:r>
        <w:rPr>
          <w:b/>
          <w:sz w:val="22"/>
          <w:szCs w:val="22"/>
        </w:rPr>
        <w:br w:type="page"/>
      </w:r>
    </w:p>
    <w:p w:rsidR="00F80A46" w:rsidRPr="00844DF6" w:rsidRDefault="00705E1F" w:rsidP="005213DF">
      <w:pPr>
        <w:rPr>
          <w:b/>
          <w:sz w:val="22"/>
          <w:szCs w:val="22"/>
        </w:rPr>
      </w:pPr>
      <w:r w:rsidRPr="00844DF6">
        <w:rPr>
          <w:b/>
          <w:sz w:val="22"/>
          <w:szCs w:val="22"/>
        </w:rPr>
        <w:lastRenderedPageBreak/>
        <w:t>2</w:t>
      </w:r>
      <w:r w:rsidR="0047743E" w:rsidRPr="00844DF6">
        <w:rPr>
          <w:b/>
          <w:sz w:val="22"/>
          <w:szCs w:val="22"/>
        </w:rPr>
        <w:t>.4</w:t>
      </w:r>
      <w:r w:rsidR="0047743E" w:rsidRPr="00844DF6">
        <w:rPr>
          <w:b/>
          <w:sz w:val="22"/>
          <w:szCs w:val="22"/>
        </w:rPr>
        <w:tab/>
      </w:r>
      <w:r w:rsidR="00F80A46" w:rsidRPr="00844DF6">
        <w:rPr>
          <w:b/>
          <w:sz w:val="22"/>
          <w:szCs w:val="22"/>
        </w:rPr>
        <w:t xml:space="preserve">Mandatory SHE Training </w:t>
      </w:r>
      <w:r w:rsidR="00F331EA" w:rsidRPr="00844DF6">
        <w:rPr>
          <w:b/>
          <w:sz w:val="22"/>
          <w:szCs w:val="22"/>
        </w:rPr>
        <w:t xml:space="preserve">(as of </w:t>
      </w:r>
      <w:r w:rsidR="00E67D11" w:rsidRPr="00844DF6">
        <w:rPr>
          <w:b/>
          <w:sz w:val="22"/>
          <w:szCs w:val="22"/>
        </w:rPr>
        <w:t>3 November</w:t>
      </w:r>
      <w:r w:rsidR="00317E6A" w:rsidRPr="00844DF6">
        <w:rPr>
          <w:b/>
          <w:sz w:val="22"/>
          <w:szCs w:val="22"/>
        </w:rPr>
        <w:t xml:space="preserve"> October</w:t>
      </w:r>
      <w:r w:rsidR="00E81CA5" w:rsidRPr="00844DF6">
        <w:rPr>
          <w:b/>
          <w:sz w:val="22"/>
          <w:szCs w:val="22"/>
        </w:rPr>
        <w:t xml:space="preserve"> 2020</w:t>
      </w:r>
      <w:r w:rsidR="00F331EA" w:rsidRPr="00844DF6">
        <w:rPr>
          <w:b/>
          <w:sz w:val="22"/>
          <w:szCs w:val="22"/>
        </w:rPr>
        <w:t>)</w:t>
      </w:r>
      <w:r w:rsidR="00F80A46" w:rsidRPr="00844DF6">
        <w:rPr>
          <w:sz w:val="22"/>
          <w:szCs w:val="22"/>
        </w:rPr>
        <w:br/>
      </w:r>
    </w:p>
    <w:p w:rsidR="00F80A46" w:rsidRPr="00844DF6" w:rsidRDefault="00EF4F30" w:rsidP="005213DF">
      <w:pPr>
        <w:pStyle w:val="BodyText"/>
        <w:spacing w:after="0"/>
        <w:rPr>
          <w:rFonts w:ascii="Arial" w:hAnsi="Arial"/>
          <w:sz w:val="22"/>
          <w:szCs w:val="22"/>
        </w:rPr>
      </w:pPr>
      <w:r w:rsidRPr="00844DF6">
        <w:rPr>
          <w:rFonts w:ascii="Arial" w:hAnsi="Arial"/>
          <w:sz w:val="22"/>
          <w:szCs w:val="22"/>
        </w:rPr>
        <w:t xml:space="preserve">The following table is based on </w:t>
      </w:r>
      <w:r w:rsidR="00F331EA" w:rsidRPr="00844DF6">
        <w:rPr>
          <w:rFonts w:ascii="Arial" w:hAnsi="Arial"/>
          <w:sz w:val="22"/>
          <w:szCs w:val="22"/>
        </w:rPr>
        <w:t>each department’s</w:t>
      </w:r>
      <w:r w:rsidRPr="00844DF6">
        <w:rPr>
          <w:rFonts w:ascii="Arial" w:hAnsi="Arial"/>
          <w:sz w:val="22"/>
          <w:szCs w:val="22"/>
        </w:rPr>
        <w:t xml:space="preserve"> total staff number for this quarter</w:t>
      </w:r>
      <w:r w:rsidRPr="00844DF6">
        <w:rPr>
          <w:rFonts w:ascii="Arial" w:hAnsi="Arial"/>
          <w:b/>
          <w:sz w:val="22"/>
          <w:szCs w:val="22"/>
        </w:rPr>
        <w:t xml:space="preserve">, </w:t>
      </w:r>
      <w:r w:rsidRPr="00844DF6">
        <w:rPr>
          <w:rFonts w:ascii="Arial" w:hAnsi="Arial"/>
          <w:sz w:val="22"/>
          <w:szCs w:val="22"/>
        </w:rPr>
        <w:t>and shows the</w:t>
      </w:r>
      <w:r w:rsidRPr="00844DF6">
        <w:rPr>
          <w:rFonts w:ascii="Arial" w:hAnsi="Arial"/>
          <w:b/>
          <w:sz w:val="22"/>
          <w:szCs w:val="22"/>
        </w:rPr>
        <w:t xml:space="preserve"> </w:t>
      </w:r>
      <w:r w:rsidR="009F262D" w:rsidRPr="00844DF6">
        <w:rPr>
          <w:rFonts w:ascii="Arial" w:hAnsi="Arial"/>
          <w:sz w:val="22"/>
          <w:szCs w:val="22"/>
        </w:rPr>
        <w:t>n</w:t>
      </w:r>
      <w:r w:rsidR="00F80A46" w:rsidRPr="00844DF6">
        <w:rPr>
          <w:rFonts w:ascii="Arial" w:hAnsi="Arial"/>
          <w:sz w:val="22"/>
          <w:szCs w:val="22"/>
        </w:rPr>
        <w:t xml:space="preserve">umber of employees, fixed term and agency staff whose </w:t>
      </w:r>
      <w:r w:rsidR="009E4813" w:rsidRPr="00844DF6">
        <w:rPr>
          <w:rFonts w:ascii="Arial" w:hAnsi="Arial"/>
          <w:sz w:val="22"/>
          <w:szCs w:val="22"/>
        </w:rPr>
        <w:t xml:space="preserve">mandatory </w:t>
      </w:r>
      <w:r w:rsidR="00F80A46" w:rsidRPr="00844DF6">
        <w:rPr>
          <w:rFonts w:ascii="Arial" w:hAnsi="Arial"/>
          <w:sz w:val="22"/>
          <w:szCs w:val="22"/>
        </w:rPr>
        <w:t>training is ‘in-date’.</w:t>
      </w:r>
    </w:p>
    <w:p w:rsidR="00EF4F30" w:rsidRPr="00844DF6" w:rsidRDefault="00EF4F30" w:rsidP="005213DF">
      <w:pPr>
        <w:pStyle w:val="BodyText"/>
        <w:spacing w:after="0"/>
        <w:rPr>
          <w:rFonts w:ascii="Arial" w:hAnsi="Arial"/>
          <w:sz w:val="22"/>
          <w:szCs w:val="22"/>
        </w:rPr>
      </w:pPr>
      <w:r w:rsidRPr="00844DF6">
        <w:rPr>
          <w:rFonts w:ascii="Arial" w:hAnsi="Arial"/>
          <w:sz w:val="22"/>
          <w:szCs w:val="22"/>
        </w:rPr>
        <w:t xml:space="preserve">The data </w:t>
      </w:r>
      <w:r w:rsidR="009F262D" w:rsidRPr="00844DF6">
        <w:rPr>
          <w:rFonts w:ascii="Arial" w:hAnsi="Arial"/>
          <w:sz w:val="22"/>
          <w:szCs w:val="22"/>
        </w:rPr>
        <w:t>exc</w:t>
      </w:r>
      <w:r w:rsidR="00CC2027" w:rsidRPr="00844DF6">
        <w:rPr>
          <w:rFonts w:ascii="Arial" w:hAnsi="Arial"/>
          <w:sz w:val="22"/>
          <w:szCs w:val="22"/>
        </w:rPr>
        <w:t>ludes STFC staff based at other</w:t>
      </w:r>
      <w:r w:rsidR="009F262D" w:rsidRPr="00844DF6">
        <w:rPr>
          <w:rFonts w:ascii="Arial" w:hAnsi="Arial"/>
          <w:sz w:val="22"/>
          <w:szCs w:val="22"/>
        </w:rPr>
        <w:t xml:space="preserve"> non-STFC facilities</w:t>
      </w:r>
      <w:r w:rsidR="00CC2027" w:rsidRPr="00844DF6">
        <w:rPr>
          <w:rFonts w:ascii="Arial" w:hAnsi="Arial"/>
          <w:sz w:val="22"/>
          <w:szCs w:val="22"/>
        </w:rPr>
        <w:t>,</w:t>
      </w:r>
      <w:r w:rsidR="009F262D" w:rsidRPr="00844DF6">
        <w:rPr>
          <w:rFonts w:ascii="Arial" w:hAnsi="Arial"/>
          <w:sz w:val="22"/>
          <w:szCs w:val="22"/>
        </w:rPr>
        <w:t xml:space="preserve"> such as CERN.</w:t>
      </w:r>
    </w:p>
    <w:p w:rsidR="003029F2" w:rsidRPr="00844DF6" w:rsidRDefault="003029F2" w:rsidP="00F80A46">
      <w:pPr>
        <w:rPr>
          <w:b/>
          <w:sz w:val="22"/>
          <w:szCs w:val="22"/>
        </w:rPr>
      </w:pPr>
    </w:p>
    <w:tbl>
      <w:tblPr>
        <w:tblW w:w="9610" w:type="dxa"/>
        <w:tblLook w:val="04A0" w:firstRow="1" w:lastRow="0" w:firstColumn="1" w:lastColumn="0" w:noHBand="0" w:noVBand="1"/>
      </w:tblPr>
      <w:tblGrid>
        <w:gridCol w:w="846"/>
        <w:gridCol w:w="709"/>
        <w:gridCol w:w="992"/>
        <w:gridCol w:w="895"/>
        <w:gridCol w:w="1072"/>
        <w:gridCol w:w="950"/>
        <w:gridCol w:w="884"/>
        <w:gridCol w:w="1206"/>
        <w:gridCol w:w="850"/>
        <w:gridCol w:w="1206"/>
      </w:tblGrid>
      <w:tr w:rsidR="00E66635" w:rsidRPr="00844DF6" w:rsidTr="00E67D11">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66635" w:rsidRPr="00844DF6" w:rsidRDefault="00E66635" w:rsidP="00E67D11">
            <w:pPr>
              <w:spacing w:before="120" w:after="120"/>
              <w:jc w:val="center"/>
              <w:rPr>
                <w:b/>
                <w:bCs/>
                <w:sz w:val="20"/>
                <w:szCs w:val="20"/>
              </w:rPr>
            </w:pPr>
          </w:p>
        </w:tc>
        <w:tc>
          <w:tcPr>
            <w:tcW w:w="70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E66635" w:rsidRPr="00844DF6" w:rsidRDefault="00E66635" w:rsidP="00E67D11">
            <w:pPr>
              <w:spacing w:before="120" w:after="120"/>
              <w:jc w:val="center"/>
              <w:rPr>
                <w:b/>
                <w:bCs/>
                <w:sz w:val="20"/>
                <w:szCs w:val="20"/>
              </w:rPr>
            </w:pPr>
            <w:r w:rsidRPr="00844DF6">
              <w:rPr>
                <w:b/>
                <w:bCs/>
                <w:sz w:val="20"/>
                <w:szCs w:val="20"/>
              </w:rPr>
              <w:t>Staff Nos</w:t>
            </w:r>
          </w:p>
        </w:tc>
        <w:tc>
          <w:tcPr>
            <w:tcW w:w="992"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E66635" w:rsidRPr="00844DF6" w:rsidRDefault="00E81CA5" w:rsidP="00E67D11">
            <w:pPr>
              <w:spacing w:before="120" w:after="120"/>
              <w:jc w:val="center"/>
              <w:rPr>
                <w:b/>
                <w:bCs/>
                <w:sz w:val="20"/>
                <w:szCs w:val="20"/>
              </w:rPr>
            </w:pPr>
            <w:r w:rsidRPr="00844DF6">
              <w:rPr>
                <w:b/>
                <w:bCs/>
                <w:sz w:val="20"/>
                <w:szCs w:val="20"/>
              </w:rPr>
              <w:t>SHE Induct</w:t>
            </w:r>
            <w:r w:rsidR="00AC266F" w:rsidRPr="00844DF6">
              <w:rPr>
                <w:b/>
                <w:bCs/>
                <w:sz w:val="20"/>
                <w:szCs w:val="20"/>
              </w:rPr>
              <w:t>/ r</w:t>
            </w:r>
            <w:r w:rsidR="00E66635" w:rsidRPr="00844DF6">
              <w:rPr>
                <w:b/>
                <w:bCs/>
                <w:sz w:val="20"/>
                <w:szCs w:val="20"/>
              </w:rPr>
              <w:t>efresh</w:t>
            </w:r>
          </w:p>
        </w:tc>
        <w:tc>
          <w:tcPr>
            <w:tcW w:w="895"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E66635" w:rsidRPr="00844DF6" w:rsidRDefault="00E66635" w:rsidP="00E67D11">
            <w:pPr>
              <w:spacing w:before="120" w:after="120"/>
              <w:jc w:val="center"/>
              <w:rPr>
                <w:b/>
                <w:bCs/>
                <w:sz w:val="20"/>
                <w:szCs w:val="20"/>
              </w:rPr>
            </w:pPr>
            <w:r w:rsidRPr="00844DF6">
              <w:rPr>
                <w:b/>
                <w:bCs/>
                <w:sz w:val="20"/>
                <w:szCs w:val="20"/>
              </w:rPr>
              <w:t>Fire Safety</w:t>
            </w:r>
            <w:r w:rsidR="00AC266F" w:rsidRPr="00844DF6">
              <w:rPr>
                <w:b/>
                <w:bCs/>
                <w:sz w:val="20"/>
                <w:szCs w:val="20"/>
              </w:rPr>
              <w:t>/ refresh</w:t>
            </w:r>
          </w:p>
        </w:tc>
        <w:tc>
          <w:tcPr>
            <w:tcW w:w="1072"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E66635" w:rsidRPr="00844DF6" w:rsidRDefault="00E66635" w:rsidP="00E67D11">
            <w:pPr>
              <w:spacing w:before="120" w:after="120"/>
              <w:jc w:val="center"/>
              <w:rPr>
                <w:b/>
                <w:bCs/>
                <w:sz w:val="20"/>
                <w:szCs w:val="20"/>
              </w:rPr>
            </w:pPr>
            <w:r w:rsidRPr="00844DF6">
              <w:rPr>
                <w:b/>
                <w:bCs/>
                <w:sz w:val="20"/>
                <w:szCs w:val="20"/>
              </w:rPr>
              <w:t>Safe Manual Handling</w:t>
            </w:r>
          </w:p>
        </w:tc>
        <w:tc>
          <w:tcPr>
            <w:tcW w:w="95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E66635" w:rsidRPr="00844DF6" w:rsidRDefault="00E66635" w:rsidP="00E67D11">
            <w:pPr>
              <w:spacing w:before="120" w:after="120"/>
              <w:jc w:val="center"/>
              <w:rPr>
                <w:b/>
                <w:bCs/>
                <w:sz w:val="20"/>
                <w:szCs w:val="20"/>
              </w:rPr>
            </w:pPr>
            <w:r w:rsidRPr="00844DF6">
              <w:rPr>
                <w:b/>
                <w:bCs/>
                <w:sz w:val="20"/>
                <w:szCs w:val="20"/>
              </w:rPr>
              <w:t>DSE training</w:t>
            </w:r>
          </w:p>
        </w:tc>
        <w:tc>
          <w:tcPr>
            <w:tcW w:w="884"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E66635" w:rsidRPr="00844DF6" w:rsidRDefault="00E66635" w:rsidP="00E67D11">
            <w:pPr>
              <w:spacing w:before="120" w:after="120"/>
              <w:jc w:val="center"/>
              <w:rPr>
                <w:b/>
                <w:bCs/>
                <w:sz w:val="20"/>
                <w:szCs w:val="20"/>
              </w:rPr>
            </w:pPr>
            <w:r w:rsidRPr="00844DF6">
              <w:rPr>
                <w:b/>
                <w:bCs/>
                <w:sz w:val="20"/>
                <w:szCs w:val="20"/>
              </w:rPr>
              <w:t>DSE assess</w:t>
            </w:r>
          </w:p>
        </w:tc>
        <w:tc>
          <w:tcPr>
            <w:tcW w:w="1206"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E66635" w:rsidRPr="00844DF6" w:rsidRDefault="00E66635" w:rsidP="00E67D11">
            <w:pPr>
              <w:spacing w:before="120" w:after="120"/>
              <w:jc w:val="center"/>
              <w:rPr>
                <w:b/>
                <w:bCs/>
                <w:sz w:val="20"/>
                <w:szCs w:val="20"/>
              </w:rPr>
            </w:pPr>
            <w:r w:rsidRPr="00844DF6">
              <w:rPr>
                <w:b/>
                <w:bCs/>
                <w:sz w:val="20"/>
                <w:szCs w:val="20"/>
              </w:rPr>
              <w:t>Asbestos Essentials</w:t>
            </w:r>
          </w:p>
        </w:tc>
        <w:tc>
          <w:tcPr>
            <w:tcW w:w="85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E66635" w:rsidRPr="00844DF6" w:rsidRDefault="00E66635" w:rsidP="00E67D11">
            <w:pPr>
              <w:spacing w:before="120" w:after="120"/>
              <w:jc w:val="center"/>
              <w:rPr>
                <w:b/>
                <w:bCs/>
                <w:sz w:val="20"/>
                <w:szCs w:val="20"/>
              </w:rPr>
            </w:pPr>
            <w:r w:rsidRPr="00844DF6">
              <w:rPr>
                <w:b/>
                <w:bCs/>
                <w:sz w:val="20"/>
                <w:szCs w:val="20"/>
              </w:rPr>
              <w:t>Policy</w:t>
            </w:r>
          </w:p>
        </w:tc>
        <w:tc>
          <w:tcPr>
            <w:tcW w:w="1206"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E66635" w:rsidRPr="00844DF6" w:rsidRDefault="00E66635" w:rsidP="00E67D11">
            <w:pPr>
              <w:spacing w:before="120" w:after="120"/>
              <w:jc w:val="center"/>
              <w:rPr>
                <w:b/>
                <w:bCs/>
                <w:sz w:val="20"/>
                <w:szCs w:val="20"/>
              </w:rPr>
            </w:pPr>
            <w:r w:rsidRPr="00844DF6">
              <w:rPr>
                <w:b/>
                <w:bCs/>
                <w:sz w:val="20"/>
                <w:szCs w:val="20"/>
              </w:rPr>
              <w:t>Electrical Essentials</w:t>
            </w:r>
          </w:p>
        </w:tc>
      </w:tr>
      <w:tr w:rsidR="00E67D11" w:rsidRPr="00844DF6" w:rsidTr="00E67D11">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7D11" w:rsidRPr="00844DF6" w:rsidRDefault="00E67D11" w:rsidP="00E67D11">
            <w:pPr>
              <w:spacing w:before="120" w:after="120"/>
              <w:jc w:val="center"/>
              <w:rPr>
                <w:b/>
                <w:bCs/>
                <w:sz w:val="22"/>
                <w:szCs w:val="22"/>
              </w:rPr>
            </w:pPr>
            <w:r w:rsidRPr="00844DF6">
              <w:rPr>
                <w:b/>
                <w:bCs/>
                <w:sz w:val="22"/>
                <w:szCs w:val="22"/>
              </w:rPr>
              <w:t>PPD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D11" w:rsidRPr="00844DF6" w:rsidRDefault="00E67D11" w:rsidP="00E67D11">
            <w:pPr>
              <w:jc w:val="center"/>
              <w:rPr>
                <w:sz w:val="20"/>
                <w:szCs w:val="20"/>
              </w:rPr>
            </w:pPr>
            <w:r w:rsidRPr="00844DF6">
              <w:rPr>
                <w:sz w:val="20"/>
                <w:szCs w:val="20"/>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D11" w:rsidRPr="00844DF6" w:rsidRDefault="00E67D11" w:rsidP="00E67D11">
            <w:pPr>
              <w:jc w:val="center"/>
              <w:rPr>
                <w:color w:val="FF0000"/>
                <w:sz w:val="20"/>
                <w:szCs w:val="20"/>
              </w:rPr>
            </w:pPr>
            <w:r w:rsidRPr="00844DF6">
              <w:rPr>
                <w:color w:val="FF0000"/>
                <w:sz w:val="20"/>
                <w:szCs w:val="20"/>
              </w:rPr>
              <w:t>67%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D11" w:rsidRPr="00844DF6" w:rsidRDefault="00E67D11" w:rsidP="00E67D11">
            <w:pPr>
              <w:jc w:val="center"/>
              <w:rPr>
                <w:color w:val="FF0000"/>
                <w:sz w:val="20"/>
                <w:szCs w:val="20"/>
              </w:rPr>
            </w:pPr>
            <w:r w:rsidRPr="00844DF6">
              <w:rPr>
                <w:color w:val="FF0000"/>
                <w:sz w:val="20"/>
                <w:szCs w:val="20"/>
              </w:rPr>
              <w:t>65%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D11" w:rsidRPr="00844DF6" w:rsidRDefault="00E67D11" w:rsidP="00E67D11">
            <w:pPr>
              <w:jc w:val="center"/>
              <w:rPr>
                <w:color w:val="FFC000"/>
                <w:sz w:val="20"/>
                <w:szCs w:val="20"/>
              </w:rPr>
            </w:pPr>
            <w:r w:rsidRPr="00844DF6">
              <w:rPr>
                <w:color w:val="FFC000"/>
                <w:sz w:val="20"/>
                <w:szCs w:val="20"/>
              </w:rPr>
              <w:t>85%</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D11" w:rsidRPr="00844DF6" w:rsidRDefault="00E67D11" w:rsidP="00E67D11">
            <w:pPr>
              <w:jc w:val="center"/>
              <w:rPr>
                <w:color w:val="FFC000"/>
                <w:sz w:val="20"/>
                <w:szCs w:val="20"/>
              </w:rPr>
            </w:pPr>
            <w:r w:rsidRPr="00844DF6">
              <w:rPr>
                <w:color w:val="FFC000"/>
                <w:sz w:val="20"/>
                <w:szCs w:val="20"/>
              </w:rPr>
              <w:t>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D11" w:rsidRPr="00844DF6" w:rsidRDefault="00E67D11" w:rsidP="00E67D11">
            <w:pPr>
              <w:jc w:val="center"/>
              <w:rPr>
                <w:color w:val="FFC000"/>
                <w:sz w:val="20"/>
                <w:szCs w:val="20"/>
              </w:rPr>
            </w:pPr>
            <w:r w:rsidRPr="00844DF6">
              <w:rPr>
                <w:color w:val="FFC000"/>
                <w:sz w:val="20"/>
                <w:szCs w:val="20"/>
              </w:rPr>
              <w:t>83%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D11" w:rsidRPr="00844DF6" w:rsidRDefault="00E67D11" w:rsidP="00E67D11">
            <w:pPr>
              <w:jc w:val="center"/>
              <w:rPr>
                <w:color w:val="00B050"/>
                <w:sz w:val="20"/>
                <w:szCs w:val="20"/>
              </w:rPr>
            </w:pPr>
            <w:r w:rsidRPr="00844DF6">
              <w:rPr>
                <w:color w:val="00B050"/>
                <w:sz w:val="20"/>
                <w:szCs w:val="20"/>
              </w:rPr>
              <w:t>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D11" w:rsidRPr="00844DF6" w:rsidRDefault="00E67D11" w:rsidP="00E67D11">
            <w:pPr>
              <w:jc w:val="center"/>
              <w:rPr>
                <w:color w:val="00B050"/>
                <w:sz w:val="20"/>
                <w:szCs w:val="20"/>
              </w:rPr>
            </w:pPr>
            <w:r w:rsidRPr="00844DF6">
              <w:rPr>
                <w:color w:val="00B050"/>
                <w:sz w:val="20"/>
                <w:szCs w:val="20"/>
              </w:rPr>
              <w:t>98%</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D11" w:rsidRPr="00844DF6" w:rsidRDefault="00E67D11" w:rsidP="00E67D11">
            <w:pPr>
              <w:jc w:val="center"/>
              <w:rPr>
                <w:color w:val="FFC000"/>
                <w:sz w:val="20"/>
                <w:szCs w:val="20"/>
              </w:rPr>
            </w:pPr>
            <w:r w:rsidRPr="00844DF6">
              <w:rPr>
                <w:color w:val="FFC000"/>
                <w:sz w:val="20"/>
                <w:szCs w:val="20"/>
              </w:rPr>
              <w:t>83%</w:t>
            </w:r>
          </w:p>
        </w:tc>
      </w:tr>
      <w:tr w:rsidR="00E67D11" w:rsidRPr="00844DF6" w:rsidTr="00E67D11">
        <w:trPr>
          <w:trHeight w:val="264"/>
        </w:trPr>
        <w:tc>
          <w:tcPr>
            <w:tcW w:w="84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67D11" w:rsidRPr="00844DF6" w:rsidRDefault="00E67D11" w:rsidP="00E67D11">
            <w:pPr>
              <w:spacing w:before="120" w:after="120"/>
              <w:jc w:val="center"/>
              <w:rPr>
                <w:b/>
                <w:bCs/>
                <w:sz w:val="22"/>
                <w:szCs w:val="22"/>
              </w:rPr>
            </w:pPr>
            <w:r w:rsidRPr="00844DF6">
              <w:rPr>
                <w:b/>
                <w:bCs/>
                <w:sz w:val="22"/>
                <w:szCs w:val="22"/>
              </w:rPr>
              <w:t>STFC Total</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E67D11" w:rsidRPr="00844DF6" w:rsidRDefault="00E67D11" w:rsidP="00E67D11">
            <w:pPr>
              <w:jc w:val="center"/>
              <w:rPr>
                <w:b/>
                <w:bCs/>
                <w:sz w:val="20"/>
                <w:szCs w:val="20"/>
              </w:rPr>
            </w:pPr>
            <w:r w:rsidRPr="00844DF6">
              <w:rPr>
                <w:b/>
                <w:bCs/>
                <w:sz w:val="20"/>
                <w:szCs w:val="20"/>
              </w:rPr>
              <w:t>2598</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E67D11" w:rsidRPr="00844DF6" w:rsidRDefault="00E67D11" w:rsidP="00E67D11">
            <w:pPr>
              <w:jc w:val="center"/>
              <w:rPr>
                <w:b/>
                <w:bCs/>
                <w:sz w:val="20"/>
                <w:szCs w:val="20"/>
              </w:rPr>
            </w:pPr>
            <w:r w:rsidRPr="00844DF6">
              <w:rPr>
                <w:b/>
                <w:bCs/>
                <w:sz w:val="20"/>
                <w:szCs w:val="20"/>
              </w:rPr>
              <w:t>73%</w:t>
            </w:r>
          </w:p>
        </w:tc>
        <w:tc>
          <w:tcPr>
            <w:tcW w:w="895" w:type="dxa"/>
            <w:tcBorders>
              <w:top w:val="single" w:sz="4" w:space="0" w:color="auto"/>
              <w:left w:val="nil"/>
              <w:bottom w:val="single" w:sz="4" w:space="0" w:color="auto"/>
              <w:right w:val="single" w:sz="4" w:space="0" w:color="auto"/>
            </w:tcBorders>
            <w:shd w:val="clear" w:color="000000" w:fill="DAEEF3"/>
            <w:noWrap/>
            <w:vAlign w:val="center"/>
            <w:hideMark/>
          </w:tcPr>
          <w:p w:rsidR="00E67D11" w:rsidRPr="00844DF6" w:rsidRDefault="00E67D11" w:rsidP="00E67D11">
            <w:pPr>
              <w:jc w:val="center"/>
              <w:rPr>
                <w:b/>
                <w:bCs/>
                <w:sz w:val="20"/>
                <w:szCs w:val="20"/>
              </w:rPr>
            </w:pPr>
            <w:r w:rsidRPr="00844DF6">
              <w:rPr>
                <w:b/>
                <w:bCs/>
                <w:sz w:val="20"/>
                <w:szCs w:val="20"/>
              </w:rPr>
              <w:t>73%</w:t>
            </w:r>
          </w:p>
        </w:tc>
        <w:tc>
          <w:tcPr>
            <w:tcW w:w="1072" w:type="dxa"/>
            <w:tcBorders>
              <w:top w:val="single" w:sz="4" w:space="0" w:color="auto"/>
              <w:left w:val="nil"/>
              <w:bottom w:val="single" w:sz="4" w:space="0" w:color="auto"/>
              <w:right w:val="single" w:sz="4" w:space="0" w:color="auto"/>
            </w:tcBorders>
            <w:shd w:val="clear" w:color="000000" w:fill="DAEEF3"/>
            <w:noWrap/>
            <w:vAlign w:val="center"/>
            <w:hideMark/>
          </w:tcPr>
          <w:p w:rsidR="00E67D11" w:rsidRPr="00844DF6" w:rsidRDefault="00E67D11" w:rsidP="00E67D11">
            <w:pPr>
              <w:jc w:val="center"/>
              <w:rPr>
                <w:b/>
                <w:bCs/>
                <w:sz w:val="20"/>
                <w:szCs w:val="20"/>
              </w:rPr>
            </w:pPr>
            <w:r w:rsidRPr="00844DF6">
              <w:rPr>
                <w:b/>
                <w:bCs/>
                <w:sz w:val="20"/>
                <w:szCs w:val="20"/>
              </w:rPr>
              <w:t>85%</w:t>
            </w:r>
          </w:p>
        </w:tc>
        <w:tc>
          <w:tcPr>
            <w:tcW w:w="950" w:type="dxa"/>
            <w:tcBorders>
              <w:top w:val="single" w:sz="4" w:space="0" w:color="auto"/>
              <w:left w:val="nil"/>
              <w:bottom w:val="single" w:sz="4" w:space="0" w:color="auto"/>
              <w:right w:val="single" w:sz="4" w:space="0" w:color="auto"/>
            </w:tcBorders>
            <w:shd w:val="clear" w:color="000000" w:fill="DAEEF3"/>
            <w:noWrap/>
            <w:vAlign w:val="center"/>
            <w:hideMark/>
          </w:tcPr>
          <w:p w:rsidR="00E67D11" w:rsidRPr="00844DF6" w:rsidRDefault="00E67D11" w:rsidP="00E67D11">
            <w:pPr>
              <w:jc w:val="center"/>
              <w:rPr>
                <w:b/>
                <w:bCs/>
                <w:sz w:val="20"/>
                <w:szCs w:val="20"/>
              </w:rPr>
            </w:pPr>
            <w:r w:rsidRPr="00844DF6">
              <w:rPr>
                <w:b/>
                <w:bCs/>
                <w:sz w:val="20"/>
                <w:szCs w:val="20"/>
              </w:rPr>
              <w:t>83%</w:t>
            </w:r>
          </w:p>
        </w:tc>
        <w:tc>
          <w:tcPr>
            <w:tcW w:w="884" w:type="dxa"/>
            <w:tcBorders>
              <w:top w:val="single" w:sz="4" w:space="0" w:color="auto"/>
              <w:left w:val="nil"/>
              <w:bottom w:val="single" w:sz="4" w:space="0" w:color="auto"/>
              <w:right w:val="single" w:sz="4" w:space="0" w:color="auto"/>
            </w:tcBorders>
            <w:shd w:val="clear" w:color="000000" w:fill="DAEEF3"/>
            <w:noWrap/>
            <w:vAlign w:val="center"/>
            <w:hideMark/>
          </w:tcPr>
          <w:p w:rsidR="00E67D11" w:rsidRPr="00844DF6" w:rsidRDefault="00E67D11" w:rsidP="00E67D11">
            <w:pPr>
              <w:jc w:val="center"/>
              <w:rPr>
                <w:b/>
                <w:bCs/>
                <w:sz w:val="20"/>
                <w:szCs w:val="20"/>
              </w:rPr>
            </w:pPr>
            <w:r w:rsidRPr="00844DF6">
              <w:rPr>
                <w:b/>
                <w:bCs/>
                <w:sz w:val="20"/>
                <w:szCs w:val="20"/>
              </w:rPr>
              <w:t>82%</w:t>
            </w:r>
          </w:p>
        </w:tc>
        <w:tc>
          <w:tcPr>
            <w:tcW w:w="1206" w:type="dxa"/>
            <w:tcBorders>
              <w:top w:val="single" w:sz="4" w:space="0" w:color="auto"/>
              <w:left w:val="nil"/>
              <w:bottom w:val="single" w:sz="4" w:space="0" w:color="auto"/>
              <w:right w:val="single" w:sz="4" w:space="0" w:color="auto"/>
            </w:tcBorders>
            <w:shd w:val="clear" w:color="000000" w:fill="DAEEF3"/>
            <w:noWrap/>
            <w:vAlign w:val="center"/>
            <w:hideMark/>
          </w:tcPr>
          <w:p w:rsidR="00E67D11" w:rsidRPr="00844DF6" w:rsidRDefault="00E67D11" w:rsidP="00E67D11">
            <w:pPr>
              <w:jc w:val="center"/>
              <w:rPr>
                <w:b/>
                <w:bCs/>
                <w:sz w:val="20"/>
                <w:szCs w:val="20"/>
              </w:rPr>
            </w:pPr>
            <w:r w:rsidRPr="00844DF6">
              <w:rPr>
                <w:b/>
                <w:bCs/>
                <w:sz w:val="20"/>
                <w:szCs w:val="20"/>
              </w:rPr>
              <w:t>92%</w:t>
            </w:r>
          </w:p>
        </w:tc>
        <w:tc>
          <w:tcPr>
            <w:tcW w:w="850" w:type="dxa"/>
            <w:tcBorders>
              <w:top w:val="single" w:sz="4" w:space="0" w:color="auto"/>
              <w:left w:val="nil"/>
              <w:bottom w:val="single" w:sz="4" w:space="0" w:color="auto"/>
              <w:right w:val="single" w:sz="4" w:space="0" w:color="auto"/>
            </w:tcBorders>
            <w:shd w:val="clear" w:color="000000" w:fill="DAEEF3"/>
            <w:noWrap/>
            <w:vAlign w:val="center"/>
            <w:hideMark/>
          </w:tcPr>
          <w:p w:rsidR="00E67D11" w:rsidRPr="00844DF6" w:rsidRDefault="00E67D11" w:rsidP="00E67D11">
            <w:pPr>
              <w:jc w:val="center"/>
              <w:rPr>
                <w:b/>
                <w:bCs/>
                <w:sz w:val="20"/>
                <w:szCs w:val="20"/>
              </w:rPr>
            </w:pPr>
            <w:r w:rsidRPr="00844DF6">
              <w:rPr>
                <w:b/>
                <w:bCs/>
                <w:sz w:val="20"/>
                <w:szCs w:val="20"/>
              </w:rPr>
              <w:t>93%</w:t>
            </w:r>
          </w:p>
        </w:tc>
        <w:tc>
          <w:tcPr>
            <w:tcW w:w="1206" w:type="dxa"/>
            <w:tcBorders>
              <w:top w:val="single" w:sz="4" w:space="0" w:color="auto"/>
              <w:left w:val="nil"/>
              <w:bottom w:val="single" w:sz="4" w:space="0" w:color="auto"/>
              <w:right w:val="single" w:sz="4" w:space="0" w:color="auto"/>
            </w:tcBorders>
            <w:shd w:val="clear" w:color="000000" w:fill="DAEEF3"/>
            <w:noWrap/>
            <w:vAlign w:val="center"/>
            <w:hideMark/>
          </w:tcPr>
          <w:p w:rsidR="00E67D11" w:rsidRPr="00844DF6" w:rsidRDefault="00E67D11" w:rsidP="00E67D11">
            <w:pPr>
              <w:jc w:val="center"/>
              <w:rPr>
                <w:b/>
                <w:bCs/>
                <w:sz w:val="20"/>
                <w:szCs w:val="20"/>
              </w:rPr>
            </w:pPr>
            <w:r w:rsidRPr="00844DF6">
              <w:rPr>
                <w:b/>
                <w:bCs/>
                <w:sz w:val="20"/>
                <w:szCs w:val="20"/>
              </w:rPr>
              <w:t>74%</w:t>
            </w:r>
          </w:p>
        </w:tc>
      </w:tr>
    </w:tbl>
    <w:p w:rsidR="00CA7EF4" w:rsidRPr="00844DF6" w:rsidRDefault="00E66635" w:rsidP="002642BA">
      <w:pPr>
        <w:jc w:val="both"/>
        <w:rPr>
          <w:b/>
          <w:sz w:val="22"/>
          <w:szCs w:val="22"/>
        </w:rPr>
      </w:pPr>
      <w:r w:rsidRPr="00844DF6">
        <w:rPr>
          <w:sz w:val="22"/>
          <w:szCs w:val="22"/>
        </w:rPr>
        <w:t>KEY:</w:t>
      </w:r>
      <w:r w:rsidRPr="00844DF6">
        <w:rPr>
          <w:b/>
          <w:sz w:val="22"/>
          <w:szCs w:val="22"/>
        </w:rPr>
        <w:t xml:space="preserve">   </w:t>
      </w:r>
      <w:proofErr w:type="gramStart"/>
      <w:r w:rsidRPr="00844DF6">
        <w:rPr>
          <w:b/>
          <w:color w:val="76923C" w:themeColor="accent3" w:themeShade="BF"/>
          <w:sz w:val="22"/>
          <w:szCs w:val="22"/>
        </w:rPr>
        <w:t>GREEN  &gt;</w:t>
      </w:r>
      <w:proofErr w:type="gramEnd"/>
      <w:r w:rsidRPr="00844DF6">
        <w:rPr>
          <w:b/>
          <w:color w:val="76923C" w:themeColor="accent3" w:themeShade="BF"/>
          <w:sz w:val="22"/>
          <w:szCs w:val="22"/>
        </w:rPr>
        <w:t xml:space="preserve"> 95%</w:t>
      </w:r>
      <w:r w:rsidRPr="00844DF6">
        <w:rPr>
          <w:b/>
          <w:sz w:val="22"/>
          <w:szCs w:val="22"/>
        </w:rPr>
        <w:tab/>
      </w:r>
      <w:r w:rsidRPr="00844DF6">
        <w:rPr>
          <w:b/>
          <w:sz w:val="22"/>
          <w:szCs w:val="22"/>
        </w:rPr>
        <w:tab/>
      </w:r>
      <w:r w:rsidRPr="00844DF6">
        <w:rPr>
          <w:b/>
          <w:color w:val="FFC000"/>
          <w:sz w:val="22"/>
          <w:szCs w:val="22"/>
        </w:rPr>
        <w:t>AMBER</w:t>
      </w:r>
      <w:r w:rsidRPr="00844DF6">
        <w:rPr>
          <w:b/>
          <w:sz w:val="22"/>
          <w:szCs w:val="22"/>
        </w:rPr>
        <w:t xml:space="preserve">  </w:t>
      </w:r>
      <w:r w:rsidRPr="00844DF6">
        <w:rPr>
          <w:b/>
          <w:color w:val="FFC000"/>
          <w:sz w:val="22"/>
          <w:szCs w:val="22"/>
        </w:rPr>
        <w:t>&gt; 80% &amp; &lt; 95%</w:t>
      </w:r>
      <w:r w:rsidRPr="00844DF6">
        <w:rPr>
          <w:b/>
          <w:sz w:val="22"/>
          <w:szCs w:val="22"/>
        </w:rPr>
        <w:tab/>
      </w:r>
      <w:r w:rsidRPr="00844DF6">
        <w:rPr>
          <w:b/>
          <w:sz w:val="22"/>
          <w:szCs w:val="22"/>
        </w:rPr>
        <w:tab/>
      </w:r>
      <w:r w:rsidR="00474B1D" w:rsidRPr="00844DF6">
        <w:rPr>
          <w:b/>
          <w:color w:val="FF0000"/>
          <w:sz w:val="22"/>
          <w:szCs w:val="22"/>
        </w:rPr>
        <w:t xml:space="preserve">RED </w:t>
      </w:r>
      <w:r w:rsidRPr="00844DF6">
        <w:rPr>
          <w:b/>
          <w:color w:val="FF0000"/>
          <w:sz w:val="22"/>
          <w:szCs w:val="22"/>
        </w:rPr>
        <w:t xml:space="preserve"> &lt; 80%</w:t>
      </w:r>
    </w:p>
    <w:p w:rsidR="001D5F4C" w:rsidRPr="00844DF6" w:rsidRDefault="001D5F4C" w:rsidP="00F80A46">
      <w:pPr>
        <w:rPr>
          <w:b/>
          <w:sz w:val="22"/>
          <w:szCs w:val="22"/>
        </w:rPr>
      </w:pPr>
    </w:p>
    <w:p w:rsidR="00E67D11" w:rsidRPr="00844DF6" w:rsidRDefault="00E67D11" w:rsidP="00E67D11">
      <w:pPr>
        <w:spacing w:line="276" w:lineRule="auto"/>
        <w:jc w:val="both"/>
        <w:rPr>
          <w:sz w:val="22"/>
          <w:szCs w:val="22"/>
          <w:u w:val="single"/>
        </w:rPr>
      </w:pPr>
      <w:r w:rsidRPr="00844DF6">
        <w:rPr>
          <w:sz w:val="22"/>
          <w:szCs w:val="22"/>
          <w:u w:val="single"/>
        </w:rPr>
        <w:t>Full data available - Y:\STFC SHE Statistics – New format\FY 2020\Q2 report data</w:t>
      </w:r>
    </w:p>
    <w:p w:rsidR="00E67D11" w:rsidRDefault="00E67D11">
      <w:pPr>
        <w:rPr>
          <w:sz w:val="22"/>
          <w:szCs w:val="22"/>
        </w:rPr>
      </w:pPr>
    </w:p>
    <w:p w:rsidR="00844DF6" w:rsidRPr="00844DF6" w:rsidRDefault="00844DF6">
      <w:pPr>
        <w:rPr>
          <w:sz w:val="22"/>
          <w:szCs w:val="22"/>
        </w:rPr>
      </w:pPr>
    </w:p>
    <w:p w:rsidR="0082419F" w:rsidRPr="00844DF6" w:rsidRDefault="0082419F" w:rsidP="0082419F">
      <w:pPr>
        <w:jc w:val="both"/>
        <w:rPr>
          <w:b/>
          <w:sz w:val="22"/>
          <w:szCs w:val="22"/>
        </w:rPr>
      </w:pPr>
      <w:r w:rsidRPr="00844DF6">
        <w:rPr>
          <w:b/>
          <w:sz w:val="22"/>
          <w:szCs w:val="22"/>
        </w:rPr>
        <w:t xml:space="preserve">Current status of </w:t>
      </w:r>
      <w:proofErr w:type="gramStart"/>
      <w:r w:rsidRPr="00844DF6">
        <w:rPr>
          <w:b/>
          <w:sz w:val="22"/>
          <w:szCs w:val="22"/>
        </w:rPr>
        <w:t>SHE</w:t>
      </w:r>
      <w:proofErr w:type="gramEnd"/>
      <w:r w:rsidRPr="00844DF6">
        <w:rPr>
          <w:b/>
          <w:sz w:val="22"/>
          <w:szCs w:val="22"/>
        </w:rPr>
        <w:t xml:space="preserve"> training</w:t>
      </w:r>
    </w:p>
    <w:p w:rsidR="0082419F" w:rsidRPr="00844DF6" w:rsidRDefault="0082419F" w:rsidP="0082419F">
      <w:pPr>
        <w:jc w:val="both"/>
        <w:rPr>
          <w:sz w:val="22"/>
          <w:szCs w:val="22"/>
        </w:rPr>
      </w:pPr>
    </w:p>
    <w:p w:rsidR="0082419F" w:rsidRPr="00844DF6" w:rsidRDefault="0082419F" w:rsidP="0082419F">
      <w:pPr>
        <w:jc w:val="both"/>
        <w:rPr>
          <w:sz w:val="22"/>
          <w:szCs w:val="22"/>
        </w:rPr>
      </w:pPr>
      <w:r w:rsidRPr="00844DF6">
        <w:rPr>
          <w:sz w:val="22"/>
          <w:szCs w:val="22"/>
        </w:rPr>
        <w:t xml:space="preserve">SHE Group has been looking at how mandatory training can be delivered as we move forward under the current Alert Level 3 COVID protocols, and the conversion of some former face-to-face sessions to an online learning platform is a key area being developed. </w:t>
      </w:r>
    </w:p>
    <w:p w:rsidR="0082419F" w:rsidRPr="00844DF6" w:rsidRDefault="0082419F" w:rsidP="0082419F">
      <w:pPr>
        <w:jc w:val="both"/>
        <w:rPr>
          <w:sz w:val="22"/>
          <w:szCs w:val="22"/>
        </w:rPr>
      </w:pPr>
    </w:p>
    <w:p w:rsidR="0082419F" w:rsidRPr="00844DF6" w:rsidRDefault="0082419F" w:rsidP="0082419F">
      <w:pPr>
        <w:jc w:val="both"/>
        <w:rPr>
          <w:sz w:val="22"/>
          <w:szCs w:val="22"/>
        </w:rPr>
      </w:pPr>
      <w:r w:rsidRPr="00844DF6">
        <w:rPr>
          <w:sz w:val="22"/>
          <w:szCs w:val="22"/>
        </w:rPr>
        <w:t>An online fire safety awareness course has been completed for RAL (and separately for DL) and is in the final stages of online conversion, with a plan to launch in the near future. Similarly the RAL safety induction course has been drafted and now that the Level 3 COVID-19 training has been revised and relaunched, further progress can be made on this RAL induction course. It is hoped that this will be available in the next few weeks.</w:t>
      </w:r>
    </w:p>
    <w:p w:rsidR="0082419F" w:rsidRPr="00844DF6" w:rsidRDefault="0082419F" w:rsidP="0082419F">
      <w:pPr>
        <w:jc w:val="both"/>
        <w:rPr>
          <w:sz w:val="22"/>
          <w:szCs w:val="22"/>
        </w:rPr>
      </w:pPr>
    </w:p>
    <w:p w:rsidR="0082419F" w:rsidRPr="00844DF6" w:rsidRDefault="0082419F" w:rsidP="0082419F">
      <w:pPr>
        <w:jc w:val="both"/>
        <w:rPr>
          <w:sz w:val="22"/>
          <w:szCs w:val="22"/>
        </w:rPr>
      </w:pPr>
      <w:r w:rsidRPr="00844DF6">
        <w:rPr>
          <w:sz w:val="22"/>
          <w:szCs w:val="22"/>
        </w:rPr>
        <w:t>The online manual handling course satisfies mandatory requirements for safe manual handling, and staff from both departments whose training is currently out of date should be asked to do the online course. Where courses are already delivered online, as in the case of the DSE training and self-assessment courses, there is no obstacle for staff to access them either from home or onsite.</w:t>
      </w:r>
    </w:p>
    <w:p w:rsidR="0082419F" w:rsidRPr="00844DF6" w:rsidRDefault="0082419F" w:rsidP="0082419F">
      <w:pPr>
        <w:jc w:val="both"/>
        <w:rPr>
          <w:color w:val="FF0000"/>
          <w:sz w:val="22"/>
          <w:szCs w:val="22"/>
        </w:rPr>
      </w:pPr>
    </w:p>
    <w:p w:rsidR="0082419F" w:rsidRPr="00844DF6" w:rsidRDefault="0082419F" w:rsidP="0082419F">
      <w:pPr>
        <w:jc w:val="both"/>
        <w:rPr>
          <w:sz w:val="22"/>
          <w:szCs w:val="22"/>
        </w:rPr>
      </w:pPr>
      <w:r w:rsidRPr="00844DF6">
        <w:rPr>
          <w:sz w:val="22"/>
          <w:szCs w:val="22"/>
        </w:rPr>
        <w:t>The Electrical Essentials course was added to the list of mandatory training courses, as a SHE objective for 2020/21. This follows ‘SHE Policy’ and ‘Asbestos Essentials’, courses which were objectives in previous years. These courses are online and need only be completed once, but uptake is reported here for convenience alongside the other mandatory courses.</w:t>
      </w:r>
    </w:p>
    <w:p w:rsidR="00E67D11" w:rsidRPr="00844DF6" w:rsidRDefault="00E67D11" w:rsidP="00CC7920">
      <w:pPr>
        <w:jc w:val="both"/>
        <w:rPr>
          <w:sz w:val="22"/>
          <w:szCs w:val="22"/>
        </w:rPr>
      </w:pPr>
    </w:p>
    <w:p w:rsidR="0082419F" w:rsidRPr="00844DF6" w:rsidRDefault="0082419F" w:rsidP="0082419F">
      <w:pPr>
        <w:jc w:val="both"/>
        <w:rPr>
          <w:b/>
          <w:sz w:val="22"/>
          <w:szCs w:val="22"/>
        </w:rPr>
      </w:pPr>
      <w:r w:rsidRPr="00844DF6">
        <w:rPr>
          <w:b/>
          <w:sz w:val="22"/>
          <w:szCs w:val="22"/>
        </w:rPr>
        <w:t>PPD training uptake</w:t>
      </w:r>
    </w:p>
    <w:p w:rsidR="0082419F" w:rsidRPr="00844DF6" w:rsidRDefault="0082419F" w:rsidP="0082419F">
      <w:pPr>
        <w:jc w:val="both"/>
        <w:rPr>
          <w:color w:val="FF0000"/>
          <w:sz w:val="22"/>
          <w:szCs w:val="22"/>
        </w:rPr>
      </w:pPr>
    </w:p>
    <w:p w:rsidR="0082419F" w:rsidRPr="00844DF6" w:rsidRDefault="0082419F" w:rsidP="0082419F">
      <w:pPr>
        <w:jc w:val="both"/>
        <w:rPr>
          <w:sz w:val="22"/>
          <w:szCs w:val="22"/>
        </w:rPr>
      </w:pPr>
      <w:r w:rsidRPr="00844DF6">
        <w:rPr>
          <w:sz w:val="22"/>
          <w:szCs w:val="22"/>
        </w:rPr>
        <w:t>The Electrical Essentials course was added to the list of mandatory training courses, as a SHE objective for 2020/21. This follows ‘SHE Policy’ and ‘Asbestos Essentials’, courses which were objectives in previous years. These courses are online and need only be completed once, but uptake is reported here for convenience alongside the other mandatory courses.</w:t>
      </w:r>
    </w:p>
    <w:p w:rsidR="0082419F" w:rsidRPr="00844DF6" w:rsidRDefault="0082419F" w:rsidP="0082419F">
      <w:pPr>
        <w:jc w:val="both"/>
        <w:rPr>
          <w:sz w:val="22"/>
          <w:szCs w:val="22"/>
        </w:rPr>
      </w:pPr>
    </w:p>
    <w:p w:rsidR="0082419F" w:rsidRPr="00844DF6" w:rsidRDefault="0082419F" w:rsidP="0082419F">
      <w:pPr>
        <w:jc w:val="both"/>
        <w:rPr>
          <w:sz w:val="22"/>
          <w:szCs w:val="22"/>
        </w:rPr>
      </w:pPr>
      <w:r w:rsidRPr="00844DF6">
        <w:rPr>
          <w:sz w:val="22"/>
          <w:szCs w:val="22"/>
        </w:rPr>
        <w:t>A good start has been made by PPD on the Electrical Essentials, but staff should be encouraged to complete it at the earliest opportunity, as we are now in the latter part of financial year 2020/21.</w:t>
      </w:r>
      <w:r w:rsidR="00860392" w:rsidRPr="00844DF6">
        <w:rPr>
          <w:sz w:val="22"/>
          <w:szCs w:val="22"/>
        </w:rPr>
        <w:t xml:space="preserve"> Uptake on the other two one-off mandated courses (Policy and Asbestos) is excellent and PPD are commended for achieving this 95% target, established by the STFC SHE Management Committee.</w:t>
      </w:r>
      <w:r w:rsidRPr="00844DF6">
        <w:rPr>
          <w:sz w:val="22"/>
          <w:szCs w:val="22"/>
        </w:rPr>
        <w:t xml:space="preserve"> </w:t>
      </w:r>
    </w:p>
    <w:p w:rsidR="0082419F" w:rsidRPr="00844DF6" w:rsidRDefault="0082419F" w:rsidP="0082419F">
      <w:pPr>
        <w:jc w:val="both"/>
        <w:rPr>
          <w:sz w:val="22"/>
          <w:szCs w:val="22"/>
        </w:rPr>
      </w:pPr>
    </w:p>
    <w:p w:rsidR="0082419F" w:rsidRPr="00844DF6" w:rsidRDefault="0082419F" w:rsidP="0082419F">
      <w:pPr>
        <w:jc w:val="both"/>
        <w:rPr>
          <w:sz w:val="22"/>
          <w:szCs w:val="22"/>
        </w:rPr>
      </w:pPr>
      <w:r w:rsidRPr="00844DF6">
        <w:rPr>
          <w:sz w:val="22"/>
          <w:szCs w:val="22"/>
        </w:rPr>
        <w:t xml:space="preserve">There is a slight gap between the two parts of the DSE course, indicating that not everyone appreciates that both parts are required to complete the DSE module. Capture rate is high, however, as it is for manual handling and </w:t>
      </w:r>
      <w:r w:rsidR="00A2256E" w:rsidRPr="00844DF6">
        <w:rPr>
          <w:sz w:val="22"/>
          <w:szCs w:val="22"/>
        </w:rPr>
        <w:t>electrical essentials</w:t>
      </w:r>
      <w:r w:rsidRPr="00844DF6">
        <w:rPr>
          <w:sz w:val="22"/>
          <w:szCs w:val="22"/>
        </w:rPr>
        <w:t>, all of which are above the average for STFC as a whole.</w:t>
      </w:r>
    </w:p>
    <w:p w:rsidR="0082419F" w:rsidRPr="00844DF6" w:rsidRDefault="0082419F" w:rsidP="0082419F">
      <w:pPr>
        <w:rPr>
          <w:b/>
          <w:sz w:val="22"/>
          <w:szCs w:val="22"/>
        </w:rPr>
      </w:pPr>
    </w:p>
    <w:p w:rsidR="0082419F" w:rsidRPr="00844DF6" w:rsidRDefault="0082419F" w:rsidP="0082419F">
      <w:pPr>
        <w:jc w:val="both"/>
        <w:rPr>
          <w:sz w:val="22"/>
          <w:szCs w:val="22"/>
        </w:rPr>
      </w:pPr>
      <w:r w:rsidRPr="00844DF6">
        <w:rPr>
          <w:sz w:val="22"/>
          <w:szCs w:val="22"/>
        </w:rPr>
        <w:t>The SHE induction</w:t>
      </w:r>
      <w:r w:rsidR="00860392" w:rsidRPr="00844DF6">
        <w:rPr>
          <w:sz w:val="22"/>
          <w:szCs w:val="22"/>
        </w:rPr>
        <w:t xml:space="preserve"> / refresher and Fire Safety training</w:t>
      </w:r>
      <w:r w:rsidRPr="00844DF6">
        <w:rPr>
          <w:sz w:val="22"/>
          <w:szCs w:val="22"/>
        </w:rPr>
        <w:t xml:space="preserve"> is lower than the STFC average, which is not surprising but should improve when the online induction course is completed and launched.</w:t>
      </w:r>
    </w:p>
    <w:p w:rsidR="0082419F" w:rsidRPr="00844DF6" w:rsidRDefault="0082419F" w:rsidP="00CC7920">
      <w:pPr>
        <w:jc w:val="both"/>
        <w:rPr>
          <w:sz w:val="22"/>
          <w:szCs w:val="22"/>
        </w:rPr>
      </w:pPr>
    </w:p>
    <w:p w:rsidR="0082419F" w:rsidRPr="00844DF6" w:rsidRDefault="0082419F" w:rsidP="00CC7920">
      <w:pPr>
        <w:jc w:val="both"/>
        <w:rPr>
          <w:sz w:val="22"/>
          <w:szCs w:val="22"/>
        </w:rPr>
      </w:pPr>
    </w:p>
    <w:p w:rsidR="005E5786" w:rsidRPr="00844DF6" w:rsidRDefault="00E33BD2" w:rsidP="00CC7920">
      <w:pPr>
        <w:jc w:val="both"/>
        <w:rPr>
          <w:sz w:val="22"/>
          <w:szCs w:val="22"/>
        </w:rPr>
      </w:pPr>
      <w:r w:rsidRPr="00844DF6">
        <w:rPr>
          <w:b/>
          <w:sz w:val="22"/>
          <w:szCs w:val="22"/>
        </w:rPr>
        <w:t>2</w:t>
      </w:r>
      <w:r w:rsidR="005E5786" w:rsidRPr="00844DF6">
        <w:rPr>
          <w:b/>
          <w:sz w:val="22"/>
          <w:szCs w:val="22"/>
        </w:rPr>
        <w:t>.5</w:t>
      </w:r>
      <w:r w:rsidR="005E5786" w:rsidRPr="00844DF6">
        <w:rPr>
          <w:b/>
          <w:sz w:val="22"/>
          <w:szCs w:val="22"/>
        </w:rPr>
        <w:tab/>
        <w:t>Departmental response to SHE Audit reports</w:t>
      </w:r>
    </w:p>
    <w:p w:rsidR="00FA385A" w:rsidRPr="00844DF6" w:rsidRDefault="00FA385A" w:rsidP="00F80A46">
      <w:pPr>
        <w:rPr>
          <w:b/>
          <w:sz w:val="22"/>
          <w:szCs w:val="22"/>
        </w:rPr>
      </w:pPr>
    </w:p>
    <w:p w:rsidR="00FA385A" w:rsidRPr="00844DF6" w:rsidRDefault="00374EA3" w:rsidP="00F80A46">
      <w:pPr>
        <w:rPr>
          <w:b/>
          <w:sz w:val="22"/>
          <w:szCs w:val="22"/>
        </w:rPr>
      </w:pPr>
      <w:r w:rsidRPr="00844DF6">
        <w:rPr>
          <w:b/>
          <w:sz w:val="22"/>
          <w:szCs w:val="22"/>
        </w:rPr>
        <w:t>Audit report summary – 8</w:t>
      </w:r>
      <w:r w:rsidR="00FA385A" w:rsidRPr="00844DF6">
        <w:rPr>
          <w:b/>
          <w:sz w:val="22"/>
          <w:szCs w:val="22"/>
        </w:rPr>
        <w:t xml:space="preserve"> </w:t>
      </w:r>
      <w:r w:rsidRPr="00844DF6">
        <w:rPr>
          <w:b/>
          <w:sz w:val="22"/>
          <w:szCs w:val="22"/>
        </w:rPr>
        <w:t>October</w:t>
      </w:r>
      <w:r w:rsidR="00FA385A" w:rsidRPr="00844DF6">
        <w:rPr>
          <w:b/>
          <w:sz w:val="22"/>
          <w:szCs w:val="22"/>
        </w:rPr>
        <w:t xml:space="preserve"> 2020</w:t>
      </w:r>
    </w:p>
    <w:p w:rsidR="00C65819" w:rsidRPr="00844DF6" w:rsidRDefault="00C65819">
      <w:pPr>
        <w:rPr>
          <w:noProof/>
        </w:rPr>
      </w:pPr>
    </w:p>
    <w:p w:rsidR="00FA385A" w:rsidRPr="00844DF6" w:rsidRDefault="00860392" w:rsidP="00806863">
      <w:pPr>
        <w:ind w:hanging="284"/>
        <w:rPr>
          <w:b/>
        </w:rPr>
      </w:pPr>
      <w:r w:rsidRPr="00844DF6">
        <w:rPr>
          <w:noProof/>
        </w:rPr>
        <w:drawing>
          <wp:inline distT="0" distB="0" distL="0" distR="0" wp14:anchorId="0996BDD2" wp14:editId="2BCA7A40">
            <wp:extent cx="6416040" cy="360816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20146" cy="3610472"/>
                    </a:xfrm>
                    <a:prstGeom prst="rect">
                      <a:avLst/>
                    </a:prstGeom>
                  </pic:spPr>
                </pic:pic>
              </a:graphicData>
            </a:graphic>
          </wp:inline>
        </w:drawing>
      </w:r>
    </w:p>
    <w:p w:rsidR="00FA385A" w:rsidRPr="00844DF6" w:rsidRDefault="00FA385A" w:rsidP="00644E45">
      <w:pPr>
        <w:ind w:hanging="567"/>
        <w:rPr>
          <w:b/>
        </w:rPr>
      </w:pPr>
    </w:p>
    <w:p w:rsidR="00374EA3" w:rsidRPr="00844DF6" w:rsidRDefault="00374EA3" w:rsidP="00374EA3">
      <w:pPr>
        <w:jc w:val="both"/>
        <w:rPr>
          <w:sz w:val="22"/>
          <w:szCs w:val="22"/>
        </w:rPr>
      </w:pPr>
      <w:r w:rsidRPr="00844DF6">
        <w:rPr>
          <w:sz w:val="22"/>
          <w:szCs w:val="22"/>
        </w:rPr>
        <w:t>From the October update of the SHE audit report summary a management response is required in relation to the contractor management audit.</w:t>
      </w:r>
    </w:p>
    <w:p w:rsidR="006100B4" w:rsidRPr="00844DF6" w:rsidRDefault="006100B4" w:rsidP="00806863">
      <w:pPr>
        <w:rPr>
          <w:b/>
        </w:rPr>
      </w:pPr>
    </w:p>
    <w:p w:rsidR="00844DF6" w:rsidRDefault="00844DF6">
      <w:pPr>
        <w:rPr>
          <w:b/>
        </w:rPr>
      </w:pPr>
      <w:r>
        <w:rPr>
          <w:b/>
        </w:rPr>
        <w:br w:type="page"/>
      </w:r>
    </w:p>
    <w:p w:rsidR="003B388B" w:rsidRPr="00844DF6" w:rsidRDefault="00FA385A" w:rsidP="00806863">
      <w:pPr>
        <w:ind w:left="-567" w:firstLine="567"/>
        <w:rPr>
          <w:b/>
          <w:sz w:val="22"/>
          <w:szCs w:val="22"/>
        </w:rPr>
      </w:pPr>
      <w:r w:rsidRPr="00844DF6">
        <w:rPr>
          <w:b/>
          <w:sz w:val="22"/>
          <w:szCs w:val="22"/>
        </w:rPr>
        <w:lastRenderedPageBreak/>
        <w:t>A</w:t>
      </w:r>
      <w:r w:rsidR="003B388B" w:rsidRPr="00844DF6">
        <w:rPr>
          <w:b/>
          <w:sz w:val="22"/>
          <w:szCs w:val="22"/>
        </w:rPr>
        <w:t>udit report by department</w:t>
      </w:r>
      <w:r w:rsidR="00374EA3" w:rsidRPr="00844DF6">
        <w:rPr>
          <w:b/>
          <w:sz w:val="22"/>
          <w:szCs w:val="22"/>
        </w:rPr>
        <w:t xml:space="preserve"> – 8 October 2020</w:t>
      </w:r>
    </w:p>
    <w:p w:rsidR="003B388B" w:rsidRPr="00844DF6" w:rsidRDefault="003B388B" w:rsidP="003B388B">
      <w:pPr>
        <w:ind w:left="-567"/>
        <w:rPr>
          <w:b/>
          <w:sz w:val="22"/>
          <w:szCs w:val="22"/>
        </w:rPr>
      </w:pPr>
    </w:p>
    <w:p w:rsidR="00806863" w:rsidRPr="00844DF6" w:rsidRDefault="00860392" w:rsidP="00806863">
      <w:pPr>
        <w:ind w:left="-284" w:firstLine="142"/>
        <w:rPr>
          <w:b/>
          <w:sz w:val="22"/>
          <w:szCs w:val="22"/>
        </w:rPr>
      </w:pPr>
      <w:r w:rsidRPr="00844DF6">
        <w:rPr>
          <w:noProof/>
        </w:rPr>
        <w:drawing>
          <wp:inline distT="0" distB="0" distL="0" distR="0" wp14:anchorId="2F0C910C" wp14:editId="7F2D3FB4">
            <wp:extent cx="6408420" cy="37034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16126" cy="3707904"/>
                    </a:xfrm>
                    <a:prstGeom prst="rect">
                      <a:avLst/>
                    </a:prstGeom>
                  </pic:spPr>
                </pic:pic>
              </a:graphicData>
            </a:graphic>
          </wp:inline>
        </w:drawing>
      </w:r>
    </w:p>
    <w:p w:rsidR="00374EA3" w:rsidRPr="00844DF6" w:rsidRDefault="00374EA3" w:rsidP="00806863">
      <w:pPr>
        <w:ind w:left="-284" w:firstLine="142"/>
        <w:rPr>
          <w:b/>
          <w:sz w:val="22"/>
          <w:szCs w:val="22"/>
        </w:rPr>
      </w:pPr>
    </w:p>
    <w:p w:rsidR="00374EA3" w:rsidRPr="00844DF6" w:rsidRDefault="00374EA3" w:rsidP="00374EA3">
      <w:pPr>
        <w:spacing w:line="276" w:lineRule="auto"/>
        <w:jc w:val="both"/>
        <w:rPr>
          <w:sz w:val="22"/>
          <w:szCs w:val="22"/>
          <w:u w:val="single"/>
        </w:rPr>
      </w:pPr>
      <w:r w:rsidRPr="00844DF6">
        <w:rPr>
          <w:sz w:val="22"/>
          <w:szCs w:val="22"/>
          <w:u w:val="single"/>
        </w:rPr>
        <w:t>Full data available - Y:\STFC SHE Statistics – New format\FY 2020\Q2 report data</w:t>
      </w:r>
    </w:p>
    <w:p w:rsidR="00374EA3" w:rsidRDefault="00374EA3" w:rsidP="00806863">
      <w:pPr>
        <w:ind w:left="-284" w:firstLine="142"/>
        <w:rPr>
          <w:b/>
          <w:sz w:val="22"/>
          <w:szCs w:val="22"/>
        </w:rPr>
      </w:pPr>
    </w:p>
    <w:p w:rsidR="00844DF6" w:rsidRDefault="00844DF6" w:rsidP="00806863">
      <w:pPr>
        <w:ind w:left="-284" w:firstLine="142"/>
        <w:rPr>
          <w:b/>
          <w:sz w:val="22"/>
          <w:szCs w:val="22"/>
        </w:rPr>
      </w:pPr>
    </w:p>
    <w:p w:rsidR="00844DF6" w:rsidRPr="00844DF6" w:rsidRDefault="00844DF6" w:rsidP="00806863">
      <w:pPr>
        <w:ind w:left="-284" w:firstLine="142"/>
        <w:rPr>
          <w:b/>
          <w:sz w:val="22"/>
          <w:szCs w:val="22"/>
        </w:rPr>
      </w:pPr>
    </w:p>
    <w:p w:rsidR="00A2256E" w:rsidRPr="00844DF6" w:rsidRDefault="00A2256E" w:rsidP="00A2256E">
      <w:pPr>
        <w:rPr>
          <w:b/>
        </w:rPr>
      </w:pPr>
      <w:r w:rsidRPr="00844DF6">
        <w:rPr>
          <w:b/>
        </w:rPr>
        <w:t>3</w:t>
      </w:r>
      <w:r w:rsidRPr="00844DF6">
        <w:rPr>
          <w:b/>
        </w:rPr>
        <w:tab/>
        <w:t>STFC SHE Management System</w:t>
      </w:r>
    </w:p>
    <w:p w:rsidR="00A2256E" w:rsidRPr="00844DF6" w:rsidRDefault="00A2256E" w:rsidP="00A2256E">
      <w:pPr>
        <w:rPr>
          <w:b/>
          <w:sz w:val="22"/>
          <w:szCs w:val="22"/>
        </w:rPr>
      </w:pPr>
    </w:p>
    <w:p w:rsidR="00A2256E" w:rsidRPr="00844DF6" w:rsidRDefault="00A2256E" w:rsidP="00A2256E">
      <w:pPr>
        <w:ind w:left="426" w:hanging="426"/>
        <w:jc w:val="both"/>
        <w:rPr>
          <w:b/>
          <w:sz w:val="22"/>
          <w:szCs w:val="22"/>
        </w:rPr>
      </w:pPr>
      <w:r w:rsidRPr="00844DF6">
        <w:rPr>
          <w:b/>
          <w:sz w:val="22"/>
          <w:szCs w:val="22"/>
        </w:rPr>
        <w:t>3.1</w:t>
      </w:r>
      <w:r w:rsidRPr="00844DF6">
        <w:rPr>
          <w:b/>
          <w:sz w:val="22"/>
          <w:szCs w:val="22"/>
        </w:rPr>
        <w:tab/>
      </w:r>
      <w:r w:rsidRPr="00844DF6">
        <w:rPr>
          <w:b/>
          <w:sz w:val="22"/>
          <w:szCs w:val="22"/>
        </w:rPr>
        <w:tab/>
        <w:t>SHE Group Communications</w:t>
      </w:r>
    </w:p>
    <w:p w:rsidR="00A2256E" w:rsidRPr="00844DF6" w:rsidRDefault="00A2256E" w:rsidP="00A2256E">
      <w:pPr>
        <w:jc w:val="both"/>
        <w:rPr>
          <w:b/>
          <w:sz w:val="22"/>
          <w:szCs w:val="22"/>
        </w:rPr>
      </w:pPr>
    </w:p>
    <w:p w:rsidR="00A2256E" w:rsidRPr="00844DF6" w:rsidRDefault="00A2256E" w:rsidP="00A2256E">
      <w:pPr>
        <w:jc w:val="both"/>
        <w:rPr>
          <w:sz w:val="22"/>
          <w:szCs w:val="22"/>
        </w:rPr>
      </w:pPr>
      <w:r w:rsidRPr="00844DF6">
        <w:rPr>
          <w:sz w:val="22"/>
          <w:szCs w:val="22"/>
        </w:rPr>
        <w:t>The following SHE Notices were issued to STFC in Q2:</w:t>
      </w:r>
    </w:p>
    <w:p w:rsidR="00A2256E" w:rsidRPr="00844DF6" w:rsidRDefault="00A2256E" w:rsidP="00A2256E">
      <w:pPr>
        <w:jc w:val="both"/>
        <w:rPr>
          <w:sz w:val="22"/>
          <w:szCs w:val="22"/>
        </w:rPr>
      </w:pPr>
    </w:p>
    <w:tbl>
      <w:tblPr>
        <w:tblStyle w:val="TableGrid"/>
        <w:tblW w:w="8079" w:type="dxa"/>
        <w:tblInd w:w="421" w:type="dxa"/>
        <w:tblLook w:val="04A0" w:firstRow="1" w:lastRow="0" w:firstColumn="1" w:lastColumn="0" w:noHBand="0" w:noVBand="1"/>
      </w:tblPr>
      <w:tblGrid>
        <w:gridCol w:w="1275"/>
        <w:gridCol w:w="6804"/>
      </w:tblGrid>
      <w:tr w:rsidR="00A2256E" w:rsidRPr="00844DF6" w:rsidTr="0014142B">
        <w:tc>
          <w:tcPr>
            <w:tcW w:w="8079" w:type="dxa"/>
            <w:gridSpan w:val="2"/>
            <w:shd w:val="clear" w:color="auto" w:fill="C6D9F1" w:themeFill="text2" w:themeFillTint="33"/>
          </w:tcPr>
          <w:p w:rsidR="00A2256E" w:rsidRPr="00844DF6" w:rsidRDefault="00A2256E" w:rsidP="0014142B">
            <w:pPr>
              <w:spacing w:before="120" w:after="120"/>
              <w:jc w:val="center"/>
              <w:rPr>
                <w:b/>
                <w:sz w:val="22"/>
                <w:szCs w:val="22"/>
              </w:rPr>
            </w:pPr>
            <w:r w:rsidRPr="00844DF6">
              <w:rPr>
                <w:b/>
                <w:sz w:val="22"/>
                <w:szCs w:val="22"/>
              </w:rPr>
              <w:t>STFC SHE Notices</w:t>
            </w:r>
          </w:p>
        </w:tc>
      </w:tr>
      <w:tr w:rsidR="00A2256E" w:rsidRPr="00844DF6" w:rsidTr="0014142B">
        <w:tc>
          <w:tcPr>
            <w:tcW w:w="1275" w:type="dxa"/>
            <w:shd w:val="clear" w:color="auto" w:fill="C6D9F1" w:themeFill="text2" w:themeFillTint="33"/>
            <w:vAlign w:val="center"/>
          </w:tcPr>
          <w:p w:rsidR="00A2256E" w:rsidRPr="00844DF6" w:rsidRDefault="00A2256E" w:rsidP="0014142B">
            <w:pPr>
              <w:spacing w:before="120" w:after="120"/>
              <w:jc w:val="center"/>
              <w:rPr>
                <w:sz w:val="22"/>
                <w:szCs w:val="22"/>
              </w:rPr>
            </w:pPr>
            <w:r w:rsidRPr="00844DF6">
              <w:rPr>
                <w:sz w:val="22"/>
                <w:szCs w:val="22"/>
              </w:rPr>
              <w:t>No. 268</w:t>
            </w:r>
          </w:p>
        </w:tc>
        <w:tc>
          <w:tcPr>
            <w:tcW w:w="6804" w:type="dxa"/>
            <w:vAlign w:val="center"/>
          </w:tcPr>
          <w:p w:rsidR="00A2256E" w:rsidRPr="00844DF6" w:rsidRDefault="00A2256E" w:rsidP="0014142B">
            <w:pPr>
              <w:spacing w:before="120" w:after="120"/>
              <w:rPr>
                <w:sz w:val="22"/>
                <w:szCs w:val="22"/>
              </w:rPr>
            </w:pPr>
            <w:r w:rsidRPr="00844DF6">
              <w:rPr>
                <w:sz w:val="22"/>
                <w:szCs w:val="22"/>
              </w:rPr>
              <w:t>Sharing learning and information:</w:t>
            </w:r>
          </w:p>
          <w:p w:rsidR="00A2256E" w:rsidRPr="00844DF6" w:rsidRDefault="00A2256E" w:rsidP="00844DF6">
            <w:pPr>
              <w:pStyle w:val="ListParagraph"/>
              <w:numPr>
                <w:ilvl w:val="0"/>
                <w:numId w:val="5"/>
              </w:numPr>
              <w:spacing w:after="0" w:line="240" w:lineRule="auto"/>
              <w:ind w:left="714" w:hanging="357"/>
              <w:contextualSpacing w:val="0"/>
              <w:rPr>
                <w:rFonts w:ascii="Arial" w:hAnsi="Arial" w:cs="Arial"/>
              </w:rPr>
            </w:pPr>
            <w:r w:rsidRPr="00844DF6">
              <w:rPr>
                <w:rFonts w:ascii="Arial" w:hAnsi="Arial" w:cs="Arial"/>
              </w:rPr>
              <w:t>Are you sitting comfortably?</w:t>
            </w:r>
          </w:p>
          <w:p w:rsidR="00A2256E" w:rsidRPr="00844DF6" w:rsidRDefault="00A2256E" w:rsidP="00844DF6">
            <w:pPr>
              <w:pStyle w:val="ListParagraph"/>
              <w:numPr>
                <w:ilvl w:val="0"/>
                <w:numId w:val="5"/>
              </w:numPr>
              <w:spacing w:after="0" w:line="240" w:lineRule="auto"/>
              <w:ind w:left="714" w:hanging="357"/>
              <w:contextualSpacing w:val="0"/>
              <w:rPr>
                <w:rFonts w:ascii="Arial" w:hAnsi="Arial" w:cs="Arial"/>
              </w:rPr>
            </w:pPr>
            <w:r w:rsidRPr="00844DF6">
              <w:rPr>
                <w:rFonts w:ascii="Arial" w:hAnsi="Arial" w:cs="Arial"/>
              </w:rPr>
              <w:t>Is working from home a pain?</w:t>
            </w:r>
          </w:p>
          <w:p w:rsidR="00A2256E" w:rsidRPr="00844DF6" w:rsidRDefault="00A2256E" w:rsidP="00844DF6">
            <w:pPr>
              <w:pStyle w:val="ListParagraph"/>
              <w:numPr>
                <w:ilvl w:val="0"/>
                <w:numId w:val="5"/>
              </w:numPr>
              <w:spacing w:after="0" w:line="240" w:lineRule="auto"/>
              <w:ind w:left="714" w:hanging="357"/>
              <w:contextualSpacing w:val="0"/>
              <w:rPr>
                <w:rFonts w:ascii="Arial" w:hAnsi="Arial" w:cs="Arial"/>
              </w:rPr>
            </w:pPr>
            <w:r w:rsidRPr="00844DF6">
              <w:rPr>
                <w:rFonts w:ascii="Arial" w:hAnsi="Arial" w:cs="Arial"/>
              </w:rPr>
              <w:t>New equipment and installations</w:t>
            </w:r>
          </w:p>
          <w:p w:rsidR="00A2256E" w:rsidRPr="00844DF6" w:rsidRDefault="00A2256E" w:rsidP="00844DF6">
            <w:pPr>
              <w:pStyle w:val="ListParagraph"/>
              <w:numPr>
                <w:ilvl w:val="0"/>
                <w:numId w:val="5"/>
              </w:numPr>
              <w:spacing w:before="120" w:after="120"/>
              <w:rPr>
                <w:rFonts w:ascii="Arial" w:hAnsi="Arial" w:cs="Arial"/>
              </w:rPr>
            </w:pPr>
            <w:r w:rsidRPr="00844DF6">
              <w:rPr>
                <w:rFonts w:ascii="Arial" w:hAnsi="Arial" w:cs="Arial"/>
              </w:rPr>
              <w:t>Dewar ice plug formation (re-issue)</w:t>
            </w:r>
          </w:p>
        </w:tc>
      </w:tr>
      <w:tr w:rsidR="00A2256E" w:rsidRPr="00844DF6" w:rsidTr="0014142B">
        <w:tc>
          <w:tcPr>
            <w:tcW w:w="1275" w:type="dxa"/>
            <w:shd w:val="clear" w:color="auto" w:fill="C6D9F1" w:themeFill="text2" w:themeFillTint="33"/>
            <w:vAlign w:val="center"/>
          </w:tcPr>
          <w:p w:rsidR="00A2256E" w:rsidRPr="00844DF6" w:rsidRDefault="00A2256E" w:rsidP="0014142B">
            <w:pPr>
              <w:spacing w:before="120" w:after="120"/>
              <w:jc w:val="center"/>
              <w:rPr>
                <w:sz w:val="22"/>
                <w:szCs w:val="22"/>
              </w:rPr>
            </w:pPr>
            <w:r w:rsidRPr="00844DF6">
              <w:rPr>
                <w:sz w:val="22"/>
                <w:szCs w:val="22"/>
              </w:rPr>
              <w:t>No. 269</w:t>
            </w:r>
          </w:p>
        </w:tc>
        <w:tc>
          <w:tcPr>
            <w:tcW w:w="6804" w:type="dxa"/>
            <w:vAlign w:val="center"/>
          </w:tcPr>
          <w:p w:rsidR="00A2256E" w:rsidRPr="00844DF6" w:rsidRDefault="00A2256E" w:rsidP="0014142B">
            <w:pPr>
              <w:spacing w:before="120" w:after="120"/>
              <w:rPr>
                <w:sz w:val="22"/>
                <w:szCs w:val="22"/>
              </w:rPr>
            </w:pPr>
            <w:r w:rsidRPr="00844DF6">
              <w:rPr>
                <w:sz w:val="22"/>
                <w:szCs w:val="22"/>
              </w:rPr>
              <w:t xml:space="preserve">Further </w:t>
            </w:r>
            <w:proofErr w:type="spellStart"/>
            <w:r w:rsidRPr="00844DF6">
              <w:rPr>
                <w:sz w:val="22"/>
                <w:szCs w:val="22"/>
              </w:rPr>
              <w:t>BiteSize</w:t>
            </w:r>
            <w:proofErr w:type="spellEnd"/>
            <w:r w:rsidRPr="00844DF6">
              <w:rPr>
                <w:sz w:val="22"/>
                <w:szCs w:val="22"/>
              </w:rPr>
              <w:t xml:space="preserve"> SHE Courses:</w:t>
            </w:r>
          </w:p>
          <w:p w:rsidR="00A2256E" w:rsidRPr="00844DF6" w:rsidRDefault="00A2256E" w:rsidP="00844DF6">
            <w:pPr>
              <w:pStyle w:val="ListParagraph"/>
              <w:numPr>
                <w:ilvl w:val="0"/>
                <w:numId w:val="6"/>
              </w:numPr>
              <w:spacing w:after="0" w:line="240" w:lineRule="auto"/>
              <w:ind w:hanging="397"/>
              <w:contextualSpacing w:val="0"/>
              <w:rPr>
                <w:rFonts w:ascii="Arial" w:hAnsi="Arial" w:cs="Arial"/>
              </w:rPr>
            </w:pPr>
            <w:r w:rsidRPr="00844DF6">
              <w:rPr>
                <w:rFonts w:ascii="Arial" w:hAnsi="Arial" w:cs="Arial"/>
              </w:rPr>
              <w:t>Electrical safety</w:t>
            </w:r>
          </w:p>
          <w:p w:rsidR="00A2256E" w:rsidRPr="00844DF6" w:rsidRDefault="00A2256E" w:rsidP="00844DF6">
            <w:pPr>
              <w:pStyle w:val="ListParagraph"/>
              <w:numPr>
                <w:ilvl w:val="0"/>
                <w:numId w:val="6"/>
              </w:numPr>
              <w:spacing w:before="120" w:after="120"/>
              <w:rPr>
                <w:rFonts w:ascii="Arial" w:hAnsi="Arial" w:cs="Arial"/>
              </w:rPr>
            </w:pPr>
            <w:r w:rsidRPr="00844DF6">
              <w:rPr>
                <w:rFonts w:ascii="Arial" w:hAnsi="Arial" w:cs="Arial"/>
              </w:rPr>
              <w:t>Working with time-varying electromagnetic fields</w:t>
            </w:r>
          </w:p>
        </w:tc>
      </w:tr>
    </w:tbl>
    <w:p w:rsidR="00A2256E" w:rsidRPr="00844DF6" w:rsidRDefault="00A2256E" w:rsidP="00A2256E">
      <w:pPr>
        <w:rPr>
          <w:sz w:val="22"/>
          <w:szCs w:val="22"/>
        </w:rPr>
      </w:pPr>
    </w:p>
    <w:p w:rsidR="00A2256E" w:rsidRPr="00844DF6" w:rsidRDefault="00A2256E" w:rsidP="00A2256E">
      <w:pPr>
        <w:rPr>
          <w:sz w:val="22"/>
          <w:szCs w:val="22"/>
        </w:rPr>
      </w:pPr>
    </w:p>
    <w:p w:rsidR="00844DF6" w:rsidRDefault="00844DF6">
      <w:pPr>
        <w:rPr>
          <w:sz w:val="22"/>
          <w:szCs w:val="22"/>
        </w:rPr>
      </w:pPr>
      <w:r>
        <w:rPr>
          <w:sz w:val="22"/>
          <w:szCs w:val="22"/>
        </w:rPr>
        <w:br w:type="page"/>
      </w:r>
    </w:p>
    <w:p w:rsidR="00A2256E" w:rsidRPr="00844DF6" w:rsidRDefault="00A2256E" w:rsidP="00A2256E">
      <w:pPr>
        <w:rPr>
          <w:b/>
          <w:sz w:val="22"/>
          <w:szCs w:val="22"/>
        </w:rPr>
      </w:pPr>
      <w:r w:rsidRPr="00844DF6">
        <w:rPr>
          <w:b/>
          <w:sz w:val="22"/>
          <w:szCs w:val="22"/>
        </w:rPr>
        <w:lastRenderedPageBreak/>
        <w:t>3.2</w:t>
      </w:r>
      <w:r w:rsidRPr="00844DF6">
        <w:rPr>
          <w:b/>
          <w:sz w:val="22"/>
          <w:szCs w:val="22"/>
        </w:rPr>
        <w:tab/>
        <w:t>SHE Code updates</w:t>
      </w:r>
    </w:p>
    <w:p w:rsidR="00A2256E" w:rsidRPr="00844DF6" w:rsidRDefault="00A2256E" w:rsidP="00A2256E">
      <w:pPr>
        <w:rPr>
          <w:b/>
          <w:sz w:val="22"/>
          <w:szCs w:val="22"/>
        </w:rPr>
      </w:pPr>
    </w:p>
    <w:p w:rsidR="00A2256E" w:rsidRPr="00844DF6" w:rsidRDefault="00A2256E" w:rsidP="00A2256E">
      <w:pPr>
        <w:rPr>
          <w:sz w:val="22"/>
          <w:szCs w:val="22"/>
        </w:rPr>
      </w:pPr>
      <w:r w:rsidRPr="00844DF6">
        <w:rPr>
          <w:sz w:val="22"/>
          <w:szCs w:val="22"/>
        </w:rPr>
        <w:t>Several SHE codes were also updated in Q2.</w:t>
      </w:r>
    </w:p>
    <w:p w:rsidR="00A2256E" w:rsidRPr="00844DF6" w:rsidRDefault="00A2256E" w:rsidP="00A2256E">
      <w:pPr>
        <w:rPr>
          <w:sz w:val="22"/>
          <w:szCs w:val="22"/>
        </w:rPr>
      </w:pPr>
    </w:p>
    <w:tbl>
      <w:tblPr>
        <w:tblStyle w:val="TableGrid"/>
        <w:tblW w:w="8221" w:type="dxa"/>
        <w:tblInd w:w="421" w:type="dxa"/>
        <w:tblLayout w:type="fixed"/>
        <w:tblLook w:val="04A0" w:firstRow="1" w:lastRow="0" w:firstColumn="1" w:lastColumn="0" w:noHBand="0" w:noVBand="1"/>
      </w:tblPr>
      <w:tblGrid>
        <w:gridCol w:w="850"/>
        <w:gridCol w:w="6237"/>
        <w:gridCol w:w="1134"/>
      </w:tblGrid>
      <w:tr w:rsidR="00A2256E" w:rsidRPr="00844DF6" w:rsidTr="0014142B">
        <w:tc>
          <w:tcPr>
            <w:tcW w:w="7087" w:type="dxa"/>
            <w:gridSpan w:val="2"/>
            <w:shd w:val="clear" w:color="auto" w:fill="C6D9F1" w:themeFill="text2" w:themeFillTint="33"/>
          </w:tcPr>
          <w:p w:rsidR="00A2256E" w:rsidRPr="00844DF6" w:rsidRDefault="00A2256E" w:rsidP="0014142B">
            <w:pPr>
              <w:spacing w:before="120" w:after="120"/>
              <w:jc w:val="center"/>
              <w:rPr>
                <w:b/>
                <w:sz w:val="22"/>
                <w:szCs w:val="22"/>
              </w:rPr>
            </w:pPr>
            <w:r w:rsidRPr="00844DF6">
              <w:rPr>
                <w:b/>
                <w:sz w:val="22"/>
                <w:szCs w:val="22"/>
              </w:rPr>
              <w:t>SHE Code launched / updated</w:t>
            </w:r>
          </w:p>
        </w:tc>
        <w:tc>
          <w:tcPr>
            <w:tcW w:w="1134" w:type="dxa"/>
            <w:shd w:val="clear" w:color="auto" w:fill="C6D9F1" w:themeFill="text2" w:themeFillTint="33"/>
          </w:tcPr>
          <w:p w:rsidR="00A2256E" w:rsidRPr="00844DF6" w:rsidRDefault="00A2256E" w:rsidP="0014142B">
            <w:pPr>
              <w:spacing w:before="120" w:after="120"/>
              <w:jc w:val="center"/>
              <w:rPr>
                <w:b/>
                <w:sz w:val="22"/>
                <w:szCs w:val="22"/>
              </w:rPr>
            </w:pPr>
            <w:r w:rsidRPr="00844DF6">
              <w:rPr>
                <w:b/>
                <w:sz w:val="22"/>
                <w:szCs w:val="22"/>
              </w:rPr>
              <w:t>Updated</w:t>
            </w:r>
          </w:p>
        </w:tc>
      </w:tr>
      <w:tr w:rsidR="00A2256E" w:rsidRPr="00844DF6" w:rsidTr="0014142B">
        <w:tc>
          <w:tcPr>
            <w:tcW w:w="850" w:type="dxa"/>
            <w:shd w:val="clear" w:color="auto" w:fill="C6D9F1" w:themeFill="text2" w:themeFillTint="33"/>
            <w:vAlign w:val="center"/>
          </w:tcPr>
          <w:p w:rsidR="00A2256E" w:rsidRPr="00844DF6" w:rsidRDefault="00A2256E" w:rsidP="0014142B">
            <w:pPr>
              <w:spacing w:before="120" w:after="120"/>
              <w:jc w:val="center"/>
              <w:rPr>
                <w:sz w:val="22"/>
                <w:szCs w:val="22"/>
              </w:rPr>
            </w:pPr>
            <w:r w:rsidRPr="00844DF6">
              <w:rPr>
                <w:sz w:val="22"/>
                <w:szCs w:val="22"/>
              </w:rPr>
              <w:t>SC10</w:t>
            </w:r>
          </w:p>
        </w:tc>
        <w:tc>
          <w:tcPr>
            <w:tcW w:w="6237" w:type="dxa"/>
            <w:vAlign w:val="center"/>
          </w:tcPr>
          <w:p w:rsidR="00A2256E" w:rsidRPr="00844DF6" w:rsidRDefault="00A2256E" w:rsidP="0014142B">
            <w:pPr>
              <w:spacing w:before="120" w:after="120"/>
              <w:rPr>
                <w:b/>
                <w:sz w:val="22"/>
                <w:szCs w:val="22"/>
              </w:rPr>
            </w:pPr>
            <w:r w:rsidRPr="00844DF6">
              <w:rPr>
                <w:b/>
                <w:sz w:val="22"/>
                <w:szCs w:val="22"/>
              </w:rPr>
              <w:t>SHE Training</w:t>
            </w:r>
          </w:p>
          <w:p w:rsidR="00A2256E" w:rsidRPr="00844DF6" w:rsidRDefault="00A2256E" w:rsidP="0014142B">
            <w:pPr>
              <w:spacing w:before="120"/>
              <w:rPr>
                <w:sz w:val="22"/>
                <w:szCs w:val="22"/>
              </w:rPr>
            </w:pPr>
            <w:r w:rsidRPr="00844DF6">
              <w:rPr>
                <w:sz w:val="22"/>
                <w:szCs w:val="22"/>
              </w:rPr>
              <w:t>Revisions to training requirements:</w:t>
            </w:r>
          </w:p>
          <w:p w:rsidR="00A2256E" w:rsidRPr="00844DF6" w:rsidRDefault="00A2256E" w:rsidP="00844DF6">
            <w:pPr>
              <w:pStyle w:val="ListParagraph"/>
              <w:numPr>
                <w:ilvl w:val="0"/>
                <w:numId w:val="10"/>
              </w:numPr>
              <w:spacing w:after="0" w:line="240" w:lineRule="auto"/>
              <w:ind w:left="465" w:hanging="465"/>
              <w:rPr>
                <w:rFonts w:ascii="Arial" w:hAnsi="Arial" w:cs="Arial"/>
              </w:rPr>
            </w:pPr>
            <w:r w:rsidRPr="00844DF6">
              <w:rPr>
                <w:rFonts w:ascii="Arial" w:hAnsi="Arial" w:cs="Arial"/>
              </w:rPr>
              <w:t>Tenants</w:t>
            </w:r>
          </w:p>
          <w:p w:rsidR="00A2256E" w:rsidRPr="00844DF6" w:rsidRDefault="00A2256E" w:rsidP="00844DF6">
            <w:pPr>
              <w:pStyle w:val="ListParagraph"/>
              <w:numPr>
                <w:ilvl w:val="0"/>
                <w:numId w:val="10"/>
              </w:numPr>
              <w:spacing w:after="0" w:line="240" w:lineRule="auto"/>
              <w:ind w:left="465" w:hanging="465"/>
              <w:rPr>
                <w:rFonts w:ascii="Arial" w:hAnsi="Arial" w:cs="Arial"/>
              </w:rPr>
            </w:pPr>
            <w:r w:rsidRPr="00844DF6">
              <w:rPr>
                <w:rFonts w:ascii="Arial" w:hAnsi="Arial" w:cs="Arial"/>
              </w:rPr>
              <w:t xml:space="preserve">Contractors </w:t>
            </w:r>
          </w:p>
          <w:p w:rsidR="00A2256E" w:rsidRPr="00844DF6" w:rsidRDefault="00A2256E" w:rsidP="00844DF6">
            <w:pPr>
              <w:pStyle w:val="ListParagraph"/>
              <w:numPr>
                <w:ilvl w:val="0"/>
                <w:numId w:val="10"/>
              </w:numPr>
              <w:spacing w:before="120" w:after="120"/>
              <w:ind w:left="463" w:hanging="463"/>
            </w:pPr>
            <w:r w:rsidRPr="00844DF6">
              <w:rPr>
                <w:rFonts w:ascii="Arial" w:hAnsi="Arial" w:cs="Arial"/>
              </w:rPr>
              <w:t>New Graduate / PG recruits</w:t>
            </w:r>
          </w:p>
        </w:tc>
        <w:tc>
          <w:tcPr>
            <w:tcW w:w="1134" w:type="dxa"/>
            <w:vAlign w:val="center"/>
          </w:tcPr>
          <w:p w:rsidR="00A2256E" w:rsidRPr="00844DF6" w:rsidRDefault="00A2256E" w:rsidP="0014142B">
            <w:pPr>
              <w:spacing w:before="120" w:after="120"/>
              <w:jc w:val="center"/>
              <w:rPr>
                <w:sz w:val="22"/>
                <w:szCs w:val="22"/>
              </w:rPr>
            </w:pPr>
            <w:r w:rsidRPr="00844DF6">
              <w:rPr>
                <w:sz w:val="22"/>
                <w:szCs w:val="22"/>
              </w:rPr>
              <w:t>Sept-20</w:t>
            </w:r>
          </w:p>
        </w:tc>
      </w:tr>
      <w:tr w:rsidR="00A2256E" w:rsidRPr="00844DF6" w:rsidTr="0014142B">
        <w:tc>
          <w:tcPr>
            <w:tcW w:w="850" w:type="dxa"/>
            <w:shd w:val="clear" w:color="auto" w:fill="C6D9F1" w:themeFill="text2" w:themeFillTint="33"/>
            <w:vAlign w:val="center"/>
          </w:tcPr>
          <w:p w:rsidR="00A2256E" w:rsidRPr="00844DF6" w:rsidRDefault="00A2256E" w:rsidP="0014142B">
            <w:pPr>
              <w:spacing w:before="120" w:after="120"/>
              <w:jc w:val="center"/>
              <w:rPr>
                <w:sz w:val="22"/>
                <w:szCs w:val="22"/>
              </w:rPr>
            </w:pPr>
            <w:r w:rsidRPr="00844DF6">
              <w:rPr>
                <w:sz w:val="22"/>
                <w:szCs w:val="22"/>
              </w:rPr>
              <w:t>SC28</w:t>
            </w:r>
          </w:p>
        </w:tc>
        <w:tc>
          <w:tcPr>
            <w:tcW w:w="6237" w:type="dxa"/>
            <w:vAlign w:val="center"/>
          </w:tcPr>
          <w:p w:rsidR="00A2256E" w:rsidRPr="00844DF6" w:rsidRDefault="00A2256E" w:rsidP="0014142B">
            <w:pPr>
              <w:spacing w:after="120"/>
              <w:rPr>
                <w:b/>
                <w:sz w:val="22"/>
                <w:szCs w:val="22"/>
              </w:rPr>
            </w:pPr>
            <w:r w:rsidRPr="00844DF6">
              <w:rPr>
                <w:b/>
                <w:sz w:val="22"/>
                <w:szCs w:val="22"/>
              </w:rPr>
              <w:t>Radioactive Open Sources</w:t>
            </w:r>
          </w:p>
          <w:p w:rsidR="00A2256E" w:rsidRPr="00844DF6" w:rsidRDefault="00A2256E" w:rsidP="0014142B">
            <w:pPr>
              <w:rPr>
                <w:sz w:val="22"/>
                <w:szCs w:val="22"/>
              </w:rPr>
            </w:pPr>
            <w:r w:rsidRPr="00844DF6">
              <w:rPr>
                <w:sz w:val="22"/>
                <w:szCs w:val="22"/>
              </w:rPr>
              <w:t>Minor updates to align with permit variations:</w:t>
            </w:r>
          </w:p>
          <w:p w:rsidR="00A2256E" w:rsidRPr="00844DF6" w:rsidRDefault="00A2256E" w:rsidP="00844DF6">
            <w:pPr>
              <w:pStyle w:val="ListParagraph"/>
              <w:numPr>
                <w:ilvl w:val="0"/>
                <w:numId w:val="9"/>
              </w:numPr>
              <w:spacing w:after="0" w:line="240" w:lineRule="auto"/>
              <w:ind w:left="321" w:hanging="321"/>
              <w:contextualSpacing w:val="0"/>
              <w:rPr>
                <w:rFonts w:ascii="Arial" w:hAnsi="Arial" w:cs="Arial"/>
              </w:rPr>
            </w:pPr>
            <w:r w:rsidRPr="00844DF6">
              <w:rPr>
                <w:rFonts w:ascii="Arial" w:hAnsi="Arial" w:cs="Arial"/>
              </w:rPr>
              <w:t>Safeguarded nuclear material</w:t>
            </w:r>
          </w:p>
          <w:p w:rsidR="00A2256E" w:rsidRPr="00844DF6" w:rsidRDefault="00A2256E" w:rsidP="00844DF6">
            <w:pPr>
              <w:pStyle w:val="ListParagraph"/>
              <w:numPr>
                <w:ilvl w:val="0"/>
                <w:numId w:val="9"/>
              </w:numPr>
              <w:spacing w:before="120" w:after="120"/>
              <w:ind w:left="321" w:hanging="321"/>
              <w:rPr>
                <w:rFonts w:ascii="Arial" w:hAnsi="Arial" w:cs="Arial"/>
              </w:rPr>
            </w:pPr>
            <w:r w:rsidRPr="00844DF6">
              <w:rPr>
                <w:rFonts w:ascii="Arial" w:hAnsi="Arial" w:cs="Arial"/>
              </w:rPr>
              <w:t>Machine radioactive materials</w:t>
            </w:r>
          </w:p>
        </w:tc>
        <w:tc>
          <w:tcPr>
            <w:tcW w:w="1134" w:type="dxa"/>
            <w:vAlign w:val="center"/>
          </w:tcPr>
          <w:p w:rsidR="00A2256E" w:rsidRPr="00844DF6" w:rsidRDefault="00A2256E" w:rsidP="0014142B">
            <w:pPr>
              <w:spacing w:before="120" w:after="120"/>
              <w:jc w:val="center"/>
              <w:rPr>
                <w:sz w:val="22"/>
                <w:szCs w:val="22"/>
              </w:rPr>
            </w:pPr>
            <w:r w:rsidRPr="00844DF6">
              <w:rPr>
                <w:sz w:val="22"/>
                <w:szCs w:val="22"/>
              </w:rPr>
              <w:t>July-20</w:t>
            </w:r>
          </w:p>
        </w:tc>
      </w:tr>
      <w:tr w:rsidR="00A2256E" w:rsidRPr="00844DF6" w:rsidTr="0014142B">
        <w:tc>
          <w:tcPr>
            <w:tcW w:w="850" w:type="dxa"/>
            <w:shd w:val="clear" w:color="auto" w:fill="C6D9F1" w:themeFill="text2" w:themeFillTint="33"/>
            <w:vAlign w:val="center"/>
          </w:tcPr>
          <w:p w:rsidR="00A2256E" w:rsidRPr="00844DF6" w:rsidRDefault="00A2256E" w:rsidP="0014142B">
            <w:pPr>
              <w:spacing w:before="120" w:after="120"/>
              <w:jc w:val="center"/>
              <w:rPr>
                <w:sz w:val="22"/>
                <w:szCs w:val="22"/>
              </w:rPr>
            </w:pPr>
            <w:r w:rsidRPr="00844DF6">
              <w:rPr>
                <w:sz w:val="22"/>
                <w:szCs w:val="22"/>
              </w:rPr>
              <w:t>SC34</w:t>
            </w:r>
          </w:p>
        </w:tc>
        <w:tc>
          <w:tcPr>
            <w:tcW w:w="6237" w:type="dxa"/>
            <w:vAlign w:val="center"/>
          </w:tcPr>
          <w:p w:rsidR="00A2256E" w:rsidRPr="00844DF6" w:rsidRDefault="00A2256E" w:rsidP="0014142B">
            <w:pPr>
              <w:spacing w:before="120" w:after="120"/>
              <w:jc w:val="left"/>
              <w:rPr>
                <w:b/>
                <w:sz w:val="22"/>
                <w:szCs w:val="22"/>
              </w:rPr>
            </w:pPr>
            <w:r w:rsidRPr="00844DF6">
              <w:rPr>
                <w:b/>
                <w:sz w:val="22"/>
                <w:szCs w:val="22"/>
              </w:rPr>
              <w:t xml:space="preserve">Electrical Safety </w:t>
            </w:r>
          </w:p>
          <w:p w:rsidR="00A2256E" w:rsidRPr="00844DF6" w:rsidRDefault="00A2256E" w:rsidP="0014142B">
            <w:pPr>
              <w:jc w:val="left"/>
              <w:rPr>
                <w:sz w:val="22"/>
                <w:szCs w:val="22"/>
              </w:rPr>
            </w:pPr>
            <w:r w:rsidRPr="00844DF6">
              <w:rPr>
                <w:sz w:val="22"/>
                <w:szCs w:val="22"/>
              </w:rPr>
              <w:t>New appendices:</w:t>
            </w:r>
          </w:p>
          <w:p w:rsidR="00A2256E" w:rsidRPr="00844DF6" w:rsidRDefault="00A2256E" w:rsidP="00844DF6">
            <w:pPr>
              <w:pStyle w:val="ListParagraph"/>
              <w:numPr>
                <w:ilvl w:val="0"/>
                <w:numId w:val="8"/>
              </w:numPr>
              <w:spacing w:after="0" w:line="240" w:lineRule="auto"/>
              <w:ind w:left="321" w:hanging="283"/>
              <w:rPr>
                <w:rFonts w:ascii="Arial" w:hAnsi="Arial" w:cs="Arial"/>
              </w:rPr>
            </w:pPr>
            <w:r w:rsidRPr="00844DF6">
              <w:rPr>
                <w:rFonts w:ascii="Arial" w:hAnsi="Arial" w:cs="Arial"/>
              </w:rPr>
              <w:t>B – Experimental electrical equipment design / operation</w:t>
            </w:r>
          </w:p>
          <w:p w:rsidR="00A2256E" w:rsidRPr="00844DF6" w:rsidRDefault="00A2256E" w:rsidP="00844DF6">
            <w:pPr>
              <w:pStyle w:val="ListParagraph"/>
              <w:numPr>
                <w:ilvl w:val="0"/>
                <w:numId w:val="8"/>
              </w:numPr>
              <w:spacing w:after="0" w:line="240" w:lineRule="auto"/>
              <w:ind w:left="321" w:hanging="283"/>
              <w:rPr>
                <w:rFonts w:ascii="Arial" w:hAnsi="Arial" w:cs="Arial"/>
              </w:rPr>
            </w:pPr>
            <w:r w:rsidRPr="00844DF6">
              <w:rPr>
                <w:rFonts w:ascii="Arial" w:hAnsi="Arial" w:cs="Arial"/>
              </w:rPr>
              <w:t>C – Training requirements</w:t>
            </w:r>
          </w:p>
          <w:p w:rsidR="00A2256E" w:rsidRPr="00844DF6" w:rsidRDefault="00A2256E" w:rsidP="00844DF6">
            <w:pPr>
              <w:pStyle w:val="ListParagraph"/>
              <w:numPr>
                <w:ilvl w:val="0"/>
                <w:numId w:val="8"/>
              </w:numPr>
              <w:spacing w:after="0" w:line="240" w:lineRule="auto"/>
              <w:ind w:left="321" w:hanging="283"/>
              <w:rPr>
                <w:rFonts w:ascii="Arial" w:hAnsi="Arial" w:cs="Arial"/>
              </w:rPr>
            </w:pPr>
            <w:r w:rsidRPr="00844DF6">
              <w:rPr>
                <w:rFonts w:ascii="Arial" w:hAnsi="Arial" w:cs="Arial"/>
              </w:rPr>
              <w:t>G – Personal Protective Equipment</w:t>
            </w:r>
          </w:p>
          <w:p w:rsidR="00A2256E" w:rsidRPr="00844DF6" w:rsidRDefault="00A2256E" w:rsidP="00844DF6">
            <w:pPr>
              <w:pStyle w:val="ListParagraph"/>
              <w:numPr>
                <w:ilvl w:val="0"/>
                <w:numId w:val="8"/>
              </w:numPr>
              <w:spacing w:before="120" w:after="120"/>
              <w:ind w:left="321" w:hanging="283"/>
            </w:pPr>
            <w:r w:rsidRPr="00844DF6">
              <w:rPr>
                <w:rFonts w:ascii="Arial" w:hAnsi="Arial" w:cs="Arial"/>
              </w:rPr>
              <w:t>H – Document retention policy</w:t>
            </w:r>
          </w:p>
        </w:tc>
        <w:tc>
          <w:tcPr>
            <w:tcW w:w="1134" w:type="dxa"/>
            <w:vAlign w:val="center"/>
          </w:tcPr>
          <w:p w:rsidR="00A2256E" w:rsidRPr="00844DF6" w:rsidRDefault="00A2256E" w:rsidP="0014142B">
            <w:pPr>
              <w:spacing w:before="120" w:after="120"/>
              <w:jc w:val="center"/>
              <w:rPr>
                <w:sz w:val="22"/>
                <w:szCs w:val="22"/>
              </w:rPr>
            </w:pPr>
            <w:r w:rsidRPr="00844DF6">
              <w:rPr>
                <w:sz w:val="22"/>
                <w:szCs w:val="22"/>
              </w:rPr>
              <w:t>Aug-20</w:t>
            </w:r>
          </w:p>
        </w:tc>
      </w:tr>
      <w:tr w:rsidR="00A2256E" w:rsidRPr="00844DF6" w:rsidTr="0014142B">
        <w:trPr>
          <w:trHeight w:val="189"/>
        </w:trPr>
        <w:tc>
          <w:tcPr>
            <w:tcW w:w="850" w:type="dxa"/>
            <w:shd w:val="clear" w:color="auto" w:fill="C6D9F1" w:themeFill="text2" w:themeFillTint="33"/>
            <w:vAlign w:val="center"/>
          </w:tcPr>
          <w:p w:rsidR="00A2256E" w:rsidRPr="00844DF6" w:rsidRDefault="00A2256E" w:rsidP="0014142B">
            <w:pPr>
              <w:spacing w:before="120" w:after="120"/>
              <w:jc w:val="center"/>
              <w:rPr>
                <w:sz w:val="22"/>
                <w:szCs w:val="22"/>
              </w:rPr>
            </w:pPr>
            <w:r w:rsidRPr="00844DF6">
              <w:rPr>
                <w:sz w:val="22"/>
                <w:szCs w:val="22"/>
              </w:rPr>
              <w:t>SC3</w:t>
            </w:r>
            <w:r w:rsidR="00F57954" w:rsidRPr="00844DF6">
              <w:rPr>
                <w:sz w:val="22"/>
                <w:szCs w:val="22"/>
              </w:rPr>
              <w:t>6</w:t>
            </w:r>
          </w:p>
        </w:tc>
        <w:tc>
          <w:tcPr>
            <w:tcW w:w="6237" w:type="dxa"/>
            <w:vAlign w:val="center"/>
          </w:tcPr>
          <w:p w:rsidR="00A2256E" w:rsidRPr="00844DF6" w:rsidRDefault="00A2256E" w:rsidP="0014142B">
            <w:pPr>
              <w:spacing w:before="120" w:after="120"/>
              <w:rPr>
                <w:b/>
                <w:sz w:val="22"/>
                <w:szCs w:val="22"/>
              </w:rPr>
            </w:pPr>
            <w:r w:rsidRPr="00844DF6">
              <w:rPr>
                <w:b/>
                <w:sz w:val="22"/>
                <w:szCs w:val="22"/>
              </w:rPr>
              <w:t>First Aid Management</w:t>
            </w:r>
          </w:p>
          <w:p w:rsidR="00A2256E" w:rsidRPr="00844DF6" w:rsidRDefault="00A2256E" w:rsidP="0014142B">
            <w:pPr>
              <w:rPr>
                <w:sz w:val="22"/>
                <w:szCs w:val="22"/>
              </w:rPr>
            </w:pPr>
            <w:r w:rsidRPr="00844DF6">
              <w:rPr>
                <w:sz w:val="22"/>
                <w:szCs w:val="22"/>
              </w:rPr>
              <w:t>New appendix 1 – contents of first aid bags</w:t>
            </w:r>
          </w:p>
          <w:p w:rsidR="00A2256E" w:rsidRPr="00844DF6" w:rsidRDefault="00A2256E" w:rsidP="00844DF6">
            <w:pPr>
              <w:pStyle w:val="ListParagraph"/>
              <w:numPr>
                <w:ilvl w:val="0"/>
                <w:numId w:val="7"/>
              </w:numPr>
              <w:spacing w:after="0" w:line="240" w:lineRule="auto"/>
              <w:ind w:left="321" w:hanging="321"/>
              <w:rPr>
                <w:rFonts w:ascii="Arial" w:hAnsi="Arial" w:cs="Arial"/>
              </w:rPr>
            </w:pPr>
            <w:r w:rsidRPr="00844DF6">
              <w:rPr>
                <w:rFonts w:ascii="Arial" w:hAnsi="Arial" w:cs="Arial"/>
              </w:rPr>
              <w:t>Tenant first aid provision</w:t>
            </w:r>
          </w:p>
          <w:p w:rsidR="00A2256E" w:rsidRPr="00844DF6" w:rsidRDefault="00A2256E" w:rsidP="00844DF6">
            <w:pPr>
              <w:pStyle w:val="ListParagraph"/>
              <w:numPr>
                <w:ilvl w:val="0"/>
                <w:numId w:val="7"/>
              </w:numPr>
              <w:spacing w:after="0" w:line="240" w:lineRule="auto"/>
              <w:ind w:left="321" w:hanging="321"/>
              <w:rPr>
                <w:rFonts w:ascii="Arial" w:hAnsi="Arial" w:cs="Arial"/>
              </w:rPr>
            </w:pPr>
            <w:r w:rsidRPr="00844DF6">
              <w:rPr>
                <w:rFonts w:ascii="Arial" w:hAnsi="Arial" w:cs="Arial"/>
              </w:rPr>
              <w:t>Revisions to SHE Group responsibilities</w:t>
            </w:r>
          </w:p>
          <w:p w:rsidR="00A2256E" w:rsidRPr="00844DF6" w:rsidRDefault="00A2256E" w:rsidP="00844DF6">
            <w:pPr>
              <w:pStyle w:val="ListParagraph"/>
              <w:numPr>
                <w:ilvl w:val="0"/>
                <w:numId w:val="7"/>
              </w:numPr>
              <w:spacing w:after="120" w:line="240" w:lineRule="auto"/>
              <w:ind w:left="321" w:hanging="321"/>
            </w:pPr>
            <w:r w:rsidRPr="00844DF6">
              <w:rPr>
                <w:rFonts w:ascii="Arial" w:hAnsi="Arial" w:cs="Arial"/>
              </w:rPr>
              <w:t>Requirement for 2 first aiders to attend all first aid incidents</w:t>
            </w:r>
          </w:p>
        </w:tc>
        <w:tc>
          <w:tcPr>
            <w:tcW w:w="1134" w:type="dxa"/>
            <w:vAlign w:val="center"/>
          </w:tcPr>
          <w:p w:rsidR="00A2256E" w:rsidRPr="00844DF6" w:rsidRDefault="00A2256E" w:rsidP="0014142B">
            <w:pPr>
              <w:spacing w:before="120" w:after="120"/>
              <w:jc w:val="center"/>
              <w:rPr>
                <w:sz w:val="22"/>
                <w:szCs w:val="22"/>
              </w:rPr>
            </w:pPr>
            <w:r w:rsidRPr="00844DF6">
              <w:rPr>
                <w:sz w:val="22"/>
                <w:szCs w:val="22"/>
              </w:rPr>
              <w:t>Sept-20</w:t>
            </w:r>
          </w:p>
        </w:tc>
      </w:tr>
    </w:tbl>
    <w:p w:rsidR="00A2256E" w:rsidRPr="00844DF6" w:rsidRDefault="00A2256E" w:rsidP="00A2256E">
      <w:pPr>
        <w:rPr>
          <w:sz w:val="22"/>
          <w:szCs w:val="22"/>
        </w:rPr>
      </w:pPr>
    </w:p>
    <w:p w:rsidR="00A2256E" w:rsidRPr="00844DF6" w:rsidRDefault="00A2256E" w:rsidP="00A2256E">
      <w:pPr>
        <w:rPr>
          <w:sz w:val="22"/>
          <w:szCs w:val="22"/>
        </w:rPr>
      </w:pPr>
    </w:p>
    <w:p w:rsidR="00844DF6" w:rsidRDefault="00844DF6">
      <w:pPr>
        <w:rPr>
          <w:sz w:val="22"/>
          <w:szCs w:val="22"/>
        </w:rPr>
      </w:pPr>
      <w:r>
        <w:rPr>
          <w:sz w:val="22"/>
          <w:szCs w:val="22"/>
        </w:rPr>
        <w:br w:type="page"/>
      </w:r>
    </w:p>
    <w:p w:rsidR="00A2256E" w:rsidRPr="00844DF6" w:rsidRDefault="00A2256E" w:rsidP="00A2256E">
      <w:pPr>
        <w:rPr>
          <w:b/>
        </w:rPr>
      </w:pPr>
      <w:r w:rsidRPr="00844DF6">
        <w:rPr>
          <w:b/>
        </w:rPr>
        <w:lastRenderedPageBreak/>
        <w:t>4.</w:t>
      </w:r>
      <w:r w:rsidRPr="00844DF6">
        <w:rPr>
          <w:b/>
        </w:rPr>
        <w:tab/>
        <w:t>SHE Regulatory Update</w:t>
      </w:r>
    </w:p>
    <w:p w:rsidR="00A2256E" w:rsidRPr="00844DF6" w:rsidRDefault="00A2256E" w:rsidP="00A2256E">
      <w:pPr>
        <w:rPr>
          <w:sz w:val="22"/>
          <w:szCs w:val="22"/>
        </w:rPr>
      </w:pPr>
    </w:p>
    <w:p w:rsidR="00A2256E" w:rsidRPr="00844DF6" w:rsidRDefault="00A2256E" w:rsidP="00A2256E">
      <w:pPr>
        <w:jc w:val="both"/>
        <w:rPr>
          <w:sz w:val="22"/>
          <w:szCs w:val="22"/>
        </w:rPr>
      </w:pPr>
      <w:r w:rsidRPr="00844DF6">
        <w:rPr>
          <w:sz w:val="22"/>
          <w:szCs w:val="22"/>
        </w:rPr>
        <w:t xml:space="preserve">There have been no regulatory changes since last report. A snapshot of the HSE latest news is shown below, and of particular note is reference to the HSE performing spot checks on businesses to check on their COVID-19 security measures. </w:t>
      </w:r>
    </w:p>
    <w:p w:rsidR="00A2256E" w:rsidRPr="00844DF6" w:rsidRDefault="00A2256E" w:rsidP="00A2256E">
      <w:pPr>
        <w:jc w:val="both"/>
        <w:rPr>
          <w:sz w:val="22"/>
          <w:szCs w:val="22"/>
        </w:rPr>
      </w:pPr>
    </w:p>
    <w:p w:rsidR="00A2256E" w:rsidRPr="00844DF6" w:rsidRDefault="00A2256E" w:rsidP="00A2256E">
      <w:pPr>
        <w:jc w:val="both"/>
        <w:rPr>
          <w:color w:val="333333"/>
          <w:sz w:val="22"/>
          <w:szCs w:val="22"/>
        </w:rPr>
      </w:pPr>
      <w:r w:rsidRPr="00844DF6">
        <w:rPr>
          <w:sz w:val="22"/>
          <w:szCs w:val="22"/>
        </w:rPr>
        <w:t xml:space="preserve">The Daresbury Laboratory has had two HSE visits, the first was a COVID-19 inspection, during which the Inspector expressed satisfaction at the measures in place. The second visit was unrelated and a check on building work which was being undertaken on site. To date there has been no HSE interest in the RAL site.  </w:t>
      </w:r>
    </w:p>
    <w:p w:rsidR="00A2256E" w:rsidRPr="00844DF6" w:rsidRDefault="00A2256E" w:rsidP="00A2256E">
      <w:pPr>
        <w:rPr>
          <w:sz w:val="22"/>
          <w:szCs w:val="22"/>
        </w:rPr>
      </w:pPr>
    </w:p>
    <w:p w:rsidR="00A2256E" w:rsidRPr="00844DF6" w:rsidRDefault="00A2256E" w:rsidP="00A2256E">
      <w:pPr>
        <w:ind w:left="-284"/>
        <w:rPr>
          <w:sz w:val="22"/>
          <w:szCs w:val="22"/>
        </w:rPr>
      </w:pPr>
      <w:r w:rsidRPr="00844DF6">
        <w:rPr>
          <w:noProof/>
          <w:sz w:val="22"/>
          <w:szCs w:val="22"/>
        </w:rPr>
        <mc:AlternateContent>
          <mc:Choice Requires="wps">
            <w:drawing>
              <wp:anchor distT="0" distB="0" distL="114300" distR="114300" simplePos="0" relativeHeight="251659264" behindDoc="0" locked="0" layoutInCell="1" allowOverlap="1" wp14:anchorId="0BED5A8D" wp14:editId="2BB79157">
                <wp:simplePos x="0" y="0"/>
                <wp:positionH relativeFrom="column">
                  <wp:posOffset>-176641</wp:posOffset>
                </wp:positionH>
                <wp:positionV relativeFrom="paragraph">
                  <wp:posOffset>1702959</wp:posOffset>
                </wp:positionV>
                <wp:extent cx="2051245" cy="1031630"/>
                <wp:effectExtent l="0" t="0" r="25400" b="16510"/>
                <wp:wrapNone/>
                <wp:docPr id="8" name="Rectangle 8"/>
                <wp:cNvGraphicFramePr/>
                <a:graphic xmlns:a="http://schemas.openxmlformats.org/drawingml/2006/main">
                  <a:graphicData uri="http://schemas.microsoft.com/office/word/2010/wordprocessingShape">
                    <wps:wsp>
                      <wps:cNvSpPr/>
                      <wps:spPr>
                        <a:xfrm>
                          <a:off x="0" y="0"/>
                          <a:ext cx="2051245" cy="1031630"/>
                        </a:xfrm>
                        <a:prstGeom prst="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CB3E2B" id="Rectangle 8" o:spid="_x0000_s1026" style="position:absolute;margin-left:-13.9pt;margin-top:134.1pt;width:161.5pt;height:8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" filled="f" strokecolor="#0070c0" strokeweight="2pt"/>
            </w:pict>
          </mc:Fallback>
        </mc:AlternateContent>
      </w:r>
      <w:r w:rsidRPr="00844DF6">
        <w:rPr>
          <w:noProof/>
          <w:sz w:val="22"/>
          <w:szCs w:val="22"/>
        </w:rPr>
        <w:drawing>
          <wp:inline distT="0" distB="0" distL="0" distR="0" wp14:anchorId="3C4F8056" wp14:editId="50FB32E4">
            <wp:extent cx="6054570" cy="418164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News.PNG"/>
                    <pic:cNvPicPr/>
                  </pic:nvPicPr>
                  <pic:blipFill>
                    <a:blip r:embed="rId14">
                      <a:extLst>
                        <a:ext uri="{28A0092B-C50C-407E-A947-70E740481C1C}">
                          <a14:useLocalDpi xmlns:a14="http://schemas.microsoft.com/office/drawing/2010/main" val="0"/>
                        </a:ext>
                      </a:extLst>
                    </a:blip>
                    <a:stretch>
                      <a:fillRect/>
                    </a:stretch>
                  </pic:blipFill>
                  <pic:spPr>
                    <a:xfrm>
                      <a:off x="0" y="0"/>
                      <a:ext cx="6057172" cy="4183437"/>
                    </a:xfrm>
                    <a:prstGeom prst="rect">
                      <a:avLst/>
                    </a:prstGeom>
                  </pic:spPr>
                </pic:pic>
              </a:graphicData>
            </a:graphic>
          </wp:inline>
        </w:drawing>
      </w:r>
    </w:p>
    <w:p w:rsidR="00A2256E" w:rsidRDefault="00A2256E" w:rsidP="00A2256E"/>
    <w:p w:rsidR="00844DF6" w:rsidRPr="00844DF6" w:rsidRDefault="00844DF6" w:rsidP="00A2256E"/>
    <w:p w:rsidR="00A2256E" w:rsidRPr="00844DF6" w:rsidRDefault="00A2256E" w:rsidP="00A2256E">
      <w:pPr>
        <w:ind w:left="426" w:hanging="426"/>
        <w:jc w:val="both"/>
        <w:rPr>
          <w:b/>
        </w:rPr>
      </w:pPr>
      <w:r w:rsidRPr="00844DF6">
        <w:rPr>
          <w:b/>
        </w:rPr>
        <w:t>5.</w:t>
      </w:r>
      <w:r w:rsidRPr="00844DF6">
        <w:rPr>
          <w:b/>
        </w:rPr>
        <w:tab/>
      </w:r>
      <w:r w:rsidRPr="00844DF6">
        <w:rPr>
          <w:b/>
        </w:rPr>
        <w:tab/>
        <w:t>SHE Governance and Assurance</w:t>
      </w:r>
    </w:p>
    <w:p w:rsidR="00A2256E" w:rsidRPr="00844DF6" w:rsidRDefault="00A2256E" w:rsidP="00A2256E">
      <w:pPr>
        <w:jc w:val="both"/>
        <w:rPr>
          <w:b/>
          <w:sz w:val="22"/>
          <w:szCs w:val="22"/>
        </w:rPr>
      </w:pPr>
    </w:p>
    <w:p w:rsidR="00A2256E" w:rsidRPr="00844DF6" w:rsidRDefault="00A2256E" w:rsidP="00A2256E">
      <w:pPr>
        <w:jc w:val="both"/>
        <w:rPr>
          <w:b/>
          <w:sz w:val="22"/>
          <w:szCs w:val="22"/>
        </w:rPr>
      </w:pPr>
      <w:r w:rsidRPr="00844DF6">
        <w:rPr>
          <w:b/>
          <w:sz w:val="22"/>
          <w:szCs w:val="22"/>
        </w:rPr>
        <w:t>5.1</w:t>
      </w:r>
      <w:r w:rsidRPr="00844DF6">
        <w:rPr>
          <w:b/>
          <w:sz w:val="22"/>
          <w:szCs w:val="22"/>
        </w:rPr>
        <w:tab/>
        <w:t>SHE Risk Registers</w:t>
      </w:r>
    </w:p>
    <w:p w:rsidR="00A2256E" w:rsidRPr="00844DF6" w:rsidRDefault="00A2256E" w:rsidP="00A2256E">
      <w:pPr>
        <w:rPr>
          <w:sz w:val="22"/>
          <w:szCs w:val="22"/>
        </w:rPr>
      </w:pPr>
    </w:p>
    <w:p w:rsidR="00A2256E" w:rsidRPr="00844DF6" w:rsidRDefault="00A2256E" w:rsidP="00A2256E">
      <w:pPr>
        <w:jc w:val="both"/>
        <w:rPr>
          <w:sz w:val="22"/>
          <w:szCs w:val="22"/>
        </w:rPr>
      </w:pPr>
      <w:r w:rsidRPr="00844DF6">
        <w:rPr>
          <w:sz w:val="22"/>
          <w:szCs w:val="22"/>
        </w:rPr>
        <w:t xml:space="preserve">Committee members are reminded that STFC’s SHE Management Committee (SHEMC) endorsed the proposal for Departmental SHE Risk Registers to be established by the end of the calendar year, from which (improvement) action plans should be derived. Committees should be making progress towards this first draft. </w:t>
      </w:r>
    </w:p>
    <w:p w:rsidR="00A2256E" w:rsidRPr="00844DF6" w:rsidRDefault="00A2256E" w:rsidP="00A2256E">
      <w:pPr>
        <w:jc w:val="both"/>
        <w:rPr>
          <w:sz w:val="22"/>
          <w:szCs w:val="22"/>
        </w:rPr>
      </w:pPr>
    </w:p>
    <w:p w:rsidR="00A2256E" w:rsidRPr="00844DF6" w:rsidRDefault="00A2256E" w:rsidP="00A2256E">
      <w:pPr>
        <w:jc w:val="both"/>
        <w:rPr>
          <w:sz w:val="22"/>
          <w:szCs w:val="22"/>
        </w:rPr>
      </w:pPr>
      <w:r w:rsidRPr="00844DF6">
        <w:rPr>
          <w:sz w:val="22"/>
          <w:szCs w:val="22"/>
        </w:rPr>
        <w:t>The template, a guidance document and a populated example were provided in an email sent by Graeme Finlan to Directors in Q1.</w:t>
      </w:r>
    </w:p>
    <w:p w:rsidR="00A2256E" w:rsidRPr="00844DF6" w:rsidRDefault="00A2256E" w:rsidP="00A2256E"/>
    <w:p w:rsidR="00844DF6" w:rsidRDefault="00844DF6">
      <w:bookmarkStart w:id="0" w:name="_GoBack"/>
      <w:bookmarkEnd w:id="0"/>
      <w:r>
        <w:br w:type="page"/>
      </w:r>
    </w:p>
    <w:p w:rsidR="00A2256E" w:rsidRPr="00844DF6" w:rsidRDefault="00A2256E" w:rsidP="00A2256E">
      <w:pPr>
        <w:ind w:left="709" w:hanging="709"/>
        <w:jc w:val="both"/>
        <w:rPr>
          <w:b/>
          <w:sz w:val="22"/>
          <w:szCs w:val="22"/>
        </w:rPr>
      </w:pPr>
      <w:proofErr w:type="gramStart"/>
      <w:r w:rsidRPr="00844DF6">
        <w:rPr>
          <w:b/>
          <w:sz w:val="22"/>
          <w:szCs w:val="22"/>
        </w:rPr>
        <w:lastRenderedPageBreak/>
        <w:t>5.2</w:t>
      </w:r>
      <w:r w:rsidRPr="00844DF6">
        <w:rPr>
          <w:b/>
          <w:sz w:val="22"/>
          <w:szCs w:val="22"/>
        </w:rPr>
        <w:tab/>
        <w:t>SHE</w:t>
      </w:r>
      <w:proofErr w:type="gramEnd"/>
      <w:r w:rsidRPr="00844DF6">
        <w:rPr>
          <w:b/>
          <w:sz w:val="22"/>
          <w:szCs w:val="22"/>
        </w:rPr>
        <w:t xml:space="preserve"> Objectives for 2020/21</w:t>
      </w:r>
    </w:p>
    <w:p w:rsidR="00A2256E" w:rsidRPr="00844DF6" w:rsidRDefault="00A2256E" w:rsidP="00A2256E">
      <w:pPr>
        <w:ind w:left="709" w:hanging="709"/>
        <w:jc w:val="both"/>
        <w:rPr>
          <w:b/>
          <w:sz w:val="22"/>
          <w:szCs w:val="22"/>
        </w:rPr>
      </w:pPr>
    </w:p>
    <w:p w:rsidR="00A2256E" w:rsidRPr="00844DF6" w:rsidRDefault="00A2256E" w:rsidP="00A2256E">
      <w:pPr>
        <w:jc w:val="both"/>
        <w:rPr>
          <w:sz w:val="22"/>
          <w:szCs w:val="22"/>
        </w:rPr>
      </w:pPr>
      <w:r w:rsidRPr="00844DF6">
        <w:rPr>
          <w:sz w:val="22"/>
          <w:szCs w:val="22"/>
        </w:rPr>
        <w:t>At its meeting of 3 April STFC’s SHE Management Committee approved the following SHE objectives for the coming year:</w:t>
      </w:r>
    </w:p>
    <w:p w:rsidR="00A2256E" w:rsidRPr="00844DF6" w:rsidRDefault="00A2256E" w:rsidP="00A2256E">
      <w:pPr>
        <w:jc w:val="both"/>
        <w:rPr>
          <w:color w:val="FF0000"/>
        </w:rPr>
      </w:pPr>
    </w:p>
    <w:tbl>
      <w:tblPr>
        <w:tblW w:w="5000" w:type="pct"/>
        <w:tblBorders>
          <w:top w:val="single" w:sz="2" w:space="0" w:color="808080"/>
          <w:left w:val="single" w:sz="2" w:space="0" w:color="808080"/>
          <w:bottom w:val="single" w:sz="2" w:space="0" w:color="808080"/>
          <w:right w:val="single" w:sz="2" w:space="0" w:color="808080"/>
        </w:tblBorders>
        <w:tblCellMar>
          <w:left w:w="0" w:type="dxa"/>
          <w:right w:w="0" w:type="dxa"/>
        </w:tblCellMar>
        <w:tblLook w:val="04A0" w:firstRow="1" w:lastRow="0" w:firstColumn="1" w:lastColumn="0" w:noHBand="0" w:noVBand="1"/>
      </w:tblPr>
      <w:tblGrid>
        <w:gridCol w:w="382"/>
        <w:gridCol w:w="8940"/>
      </w:tblGrid>
      <w:tr w:rsidR="00A2256E" w:rsidRPr="00844DF6" w:rsidTr="0014142B">
        <w:tc>
          <w:tcPr>
            <w:tcW w:w="657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05" w:type="dxa"/>
              <w:left w:w="75" w:type="dxa"/>
              <w:bottom w:w="90" w:type="dxa"/>
              <w:right w:w="75" w:type="dxa"/>
            </w:tcMar>
            <w:hideMark/>
          </w:tcPr>
          <w:p w:rsidR="00A2256E" w:rsidRPr="00844DF6" w:rsidRDefault="00A2256E" w:rsidP="0014142B">
            <w:pPr>
              <w:spacing w:line="233" w:lineRule="atLeast"/>
              <w:jc w:val="center"/>
              <w:rPr>
                <w:sz w:val="22"/>
                <w:szCs w:val="22"/>
              </w:rPr>
            </w:pPr>
            <w:r w:rsidRPr="00844DF6">
              <w:rPr>
                <w:b/>
                <w:bCs/>
                <w:sz w:val="22"/>
                <w:szCs w:val="22"/>
              </w:rPr>
              <w:t>2020/21 Health and Safety objectives</w:t>
            </w:r>
          </w:p>
        </w:tc>
      </w:tr>
      <w:tr w:rsidR="00A2256E" w:rsidRPr="00844DF6" w:rsidTr="0014142B">
        <w:tc>
          <w:tcPr>
            <w:tcW w:w="554" w:type="dxa"/>
            <w:tcBorders>
              <w:top w:val="single" w:sz="6" w:space="0" w:color="808080"/>
              <w:left w:val="single" w:sz="6" w:space="0" w:color="808080"/>
              <w:bottom w:val="single" w:sz="6" w:space="0" w:color="808080"/>
              <w:right w:val="single" w:sz="4" w:space="0" w:color="auto"/>
            </w:tcBorders>
            <w:shd w:val="clear" w:color="auto" w:fill="DBE5F1" w:themeFill="accent1" w:themeFillTint="33"/>
            <w:tcMar>
              <w:top w:w="75" w:type="dxa"/>
              <w:left w:w="30" w:type="dxa"/>
              <w:bottom w:w="30" w:type="dxa"/>
              <w:right w:w="75" w:type="dxa"/>
            </w:tcMar>
            <w:hideMark/>
          </w:tcPr>
          <w:p w:rsidR="00A2256E" w:rsidRPr="00844DF6" w:rsidRDefault="00A2256E" w:rsidP="0014142B">
            <w:pPr>
              <w:spacing w:line="221" w:lineRule="atLeast"/>
              <w:rPr>
                <w:sz w:val="22"/>
                <w:szCs w:val="22"/>
              </w:rPr>
            </w:pPr>
            <w:r w:rsidRPr="00844DF6">
              <w:rPr>
                <w:sz w:val="22"/>
                <w:szCs w:val="22"/>
              </w:rPr>
              <w:t>​1</w:t>
            </w:r>
          </w:p>
        </w:tc>
        <w:tc>
          <w:tcPr>
            <w:tcW w:w="5942" w:type="dxa"/>
            <w:tcBorders>
              <w:top w:val="single" w:sz="4" w:space="0" w:color="auto"/>
              <w:left w:val="single" w:sz="4" w:space="0" w:color="auto"/>
              <w:bottom w:val="single" w:sz="4" w:space="0" w:color="auto"/>
              <w:right w:val="single" w:sz="4" w:space="0" w:color="auto"/>
            </w:tcBorders>
            <w:shd w:val="clear" w:color="auto" w:fill="auto"/>
            <w:tcMar>
              <w:top w:w="75" w:type="dxa"/>
              <w:left w:w="30" w:type="dxa"/>
              <w:bottom w:w="30" w:type="dxa"/>
              <w:right w:w="75" w:type="dxa"/>
            </w:tcMar>
            <w:hideMark/>
          </w:tcPr>
          <w:p w:rsidR="00A2256E" w:rsidRPr="00844DF6" w:rsidRDefault="00A2256E" w:rsidP="0014142B">
            <w:pPr>
              <w:spacing w:before="120" w:after="120"/>
              <w:rPr>
                <w:sz w:val="22"/>
                <w:szCs w:val="22"/>
              </w:rPr>
            </w:pPr>
            <w:r w:rsidRPr="00844DF6">
              <w:rPr>
                <w:sz w:val="22"/>
                <w:szCs w:val="22"/>
              </w:rPr>
              <w:t>​Each STFC Department/Directorate to hold a Health and Wellbeing event (or on-line webinar) to encourage staff to undertake a range of health and wellbeing activities.</w:t>
            </w:r>
          </w:p>
        </w:tc>
      </w:tr>
      <w:tr w:rsidR="00A2256E" w:rsidRPr="00844DF6" w:rsidTr="0014142B">
        <w:tc>
          <w:tcPr>
            <w:tcW w:w="554" w:type="dxa"/>
            <w:tcBorders>
              <w:top w:val="single" w:sz="6" w:space="0" w:color="808080"/>
              <w:left w:val="single" w:sz="6" w:space="0" w:color="808080"/>
              <w:bottom w:val="single" w:sz="6" w:space="0" w:color="808080"/>
              <w:right w:val="single" w:sz="4" w:space="0" w:color="auto"/>
            </w:tcBorders>
            <w:shd w:val="clear" w:color="auto" w:fill="DBE5F1" w:themeFill="accent1" w:themeFillTint="33"/>
            <w:tcMar>
              <w:top w:w="75" w:type="dxa"/>
              <w:left w:w="30" w:type="dxa"/>
              <w:bottom w:w="30" w:type="dxa"/>
              <w:right w:w="75" w:type="dxa"/>
            </w:tcMar>
            <w:hideMark/>
          </w:tcPr>
          <w:p w:rsidR="00A2256E" w:rsidRPr="00844DF6" w:rsidRDefault="00A2256E" w:rsidP="0014142B">
            <w:pPr>
              <w:spacing w:line="221" w:lineRule="atLeast"/>
              <w:rPr>
                <w:sz w:val="22"/>
                <w:szCs w:val="22"/>
              </w:rPr>
            </w:pPr>
            <w:r w:rsidRPr="00844DF6">
              <w:rPr>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30" w:type="dxa"/>
              <w:bottom w:w="30" w:type="dxa"/>
              <w:right w:w="75" w:type="dxa"/>
            </w:tcMar>
            <w:hideMark/>
          </w:tcPr>
          <w:p w:rsidR="00A2256E" w:rsidRPr="00844DF6" w:rsidRDefault="00A2256E" w:rsidP="0014142B">
            <w:pPr>
              <w:spacing w:before="120" w:after="120"/>
              <w:rPr>
                <w:sz w:val="22"/>
                <w:szCs w:val="22"/>
              </w:rPr>
            </w:pPr>
            <w:r w:rsidRPr="00844DF6">
              <w:rPr>
                <w:sz w:val="22"/>
                <w:szCs w:val="22"/>
              </w:rPr>
              <w:t>​All staff and others working on STFC sites should complete the STFC ‘Electrical Safety Essentials’ on-line training course.</w:t>
            </w:r>
          </w:p>
        </w:tc>
      </w:tr>
      <w:tr w:rsidR="00A2256E" w:rsidRPr="00844DF6" w:rsidTr="0014142B">
        <w:trPr>
          <w:trHeight w:val="579"/>
        </w:trPr>
        <w:tc>
          <w:tcPr>
            <w:tcW w:w="554" w:type="dxa"/>
            <w:tcBorders>
              <w:top w:val="single" w:sz="6" w:space="0" w:color="808080"/>
              <w:left w:val="single" w:sz="6" w:space="0" w:color="808080"/>
              <w:bottom w:val="single" w:sz="6" w:space="0" w:color="808080"/>
              <w:right w:val="single" w:sz="4" w:space="0" w:color="auto"/>
            </w:tcBorders>
            <w:shd w:val="clear" w:color="auto" w:fill="DBE5F1" w:themeFill="accent1" w:themeFillTint="33"/>
            <w:tcMar>
              <w:top w:w="75" w:type="dxa"/>
              <w:left w:w="30" w:type="dxa"/>
              <w:bottom w:w="30" w:type="dxa"/>
              <w:right w:w="75" w:type="dxa"/>
            </w:tcMar>
            <w:hideMark/>
          </w:tcPr>
          <w:p w:rsidR="00A2256E" w:rsidRPr="00844DF6" w:rsidRDefault="00A2256E" w:rsidP="0014142B">
            <w:pPr>
              <w:spacing w:line="221" w:lineRule="atLeast"/>
              <w:rPr>
                <w:sz w:val="22"/>
                <w:szCs w:val="22"/>
              </w:rPr>
            </w:pPr>
            <w:r w:rsidRPr="00844DF6">
              <w:rPr>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30" w:type="dxa"/>
              <w:bottom w:w="30" w:type="dxa"/>
              <w:right w:w="75" w:type="dxa"/>
            </w:tcMar>
            <w:hideMark/>
          </w:tcPr>
          <w:p w:rsidR="00A2256E" w:rsidRPr="00844DF6" w:rsidRDefault="00A2256E" w:rsidP="0014142B">
            <w:pPr>
              <w:spacing w:before="120" w:after="120"/>
              <w:rPr>
                <w:sz w:val="22"/>
                <w:szCs w:val="22"/>
              </w:rPr>
            </w:pPr>
            <w:r w:rsidRPr="00844DF6">
              <w:rPr>
                <w:sz w:val="22"/>
                <w:szCs w:val="22"/>
              </w:rPr>
              <w:t>​All Departmental team, project or operational management meetings include a discussion of Health and Safety issues or concerns, appropriate to the risk in that area.</w:t>
            </w:r>
          </w:p>
        </w:tc>
      </w:tr>
    </w:tbl>
    <w:p w:rsidR="00A2256E" w:rsidRPr="00844DF6" w:rsidRDefault="00A2256E" w:rsidP="00A2256E">
      <w:pPr>
        <w:spacing w:line="233" w:lineRule="atLeast"/>
        <w:jc w:val="both"/>
        <w:rPr>
          <w:color w:val="FF0000"/>
          <w:sz w:val="22"/>
          <w:szCs w:val="22"/>
        </w:rPr>
      </w:pPr>
      <w:r w:rsidRPr="00844DF6">
        <w:rPr>
          <w:color w:val="FF0000"/>
          <w:sz w:val="19"/>
          <w:szCs w:val="19"/>
        </w:rPr>
        <w:br/>
      </w:r>
      <w:r w:rsidRPr="00844DF6">
        <w:rPr>
          <w:sz w:val="22"/>
          <w:szCs w:val="22"/>
        </w:rPr>
        <w:t>The objectives were launched to enable their inclusion into annual Departmental SHE Improvement plans and Annual Performance Review (APR) objectives. While progress on objectives 1 and 3 may be challenging while the site continues to operate at Level 3, progress must be made against the second objective, i.e. the completion of the online training.</w:t>
      </w:r>
    </w:p>
    <w:p w:rsidR="00A2256E" w:rsidRPr="00844DF6" w:rsidRDefault="00A2256E" w:rsidP="00A2256E">
      <w:pPr>
        <w:spacing w:line="233" w:lineRule="atLeast"/>
        <w:jc w:val="both"/>
      </w:pPr>
    </w:p>
    <w:p w:rsidR="00A2256E" w:rsidRPr="00844DF6" w:rsidRDefault="00A2256E" w:rsidP="00A2256E">
      <w:pPr>
        <w:jc w:val="both"/>
      </w:pPr>
    </w:p>
    <w:p w:rsidR="00A2256E" w:rsidRPr="00844DF6" w:rsidRDefault="00A2256E" w:rsidP="00A2256E">
      <w:pPr>
        <w:ind w:left="426" w:hanging="426"/>
        <w:jc w:val="both"/>
        <w:rPr>
          <w:b/>
          <w:color w:val="FF0000"/>
        </w:rPr>
      </w:pPr>
      <w:r w:rsidRPr="00844DF6">
        <w:rPr>
          <w:b/>
        </w:rPr>
        <w:t>6.</w:t>
      </w:r>
      <w:r w:rsidRPr="00844DF6">
        <w:rPr>
          <w:b/>
        </w:rPr>
        <w:tab/>
      </w:r>
      <w:r w:rsidRPr="00844DF6">
        <w:rPr>
          <w:b/>
        </w:rPr>
        <w:tab/>
        <w:t>Fire Safety</w:t>
      </w:r>
    </w:p>
    <w:p w:rsidR="00A2256E" w:rsidRPr="00844DF6" w:rsidRDefault="00A2256E" w:rsidP="00A2256E">
      <w:pPr>
        <w:ind w:left="426" w:hanging="426"/>
        <w:jc w:val="both"/>
        <w:rPr>
          <w:b/>
          <w:color w:val="FF0000"/>
          <w:sz w:val="22"/>
          <w:szCs w:val="22"/>
        </w:rPr>
      </w:pPr>
    </w:p>
    <w:p w:rsidR="00A2256E" w:rsidRPr="00844DF6" w:rsidRDefault="00A2256E" w:rsidP="00A2256E">
      <w:pPr>
        <w:rPr>
          <w:b/>
          <w:sz w:val="22"/>
          <w:szCs w:val="22"/>
        </w:rPr>
      </w:pPr>
      <w:r w:rsidRPr="00844DF6">
        <w:rPr>
          <w:b/>
          <w:sz w:val="22"/>
          <w:szCs w:val="22"/>
        </w:rPr>
        <w:t>6.1</w:t>
      </w:r>
      <w:r w:rsidRPr="00844DF6">
        <w:rPr>
          <w:b/>
          <w:sz w:val="22"/>
          <w:szCs w:val="22"/>
        </w:rPr>
        <w:tab/>
        <w:t>Fire drills</w:t>
      </w:r>
    </w:p>
    <w:p w:rsidR="00A2256E" w:rsidRPr="00844DF6" w:rsidRDefault="00A2256E" w:rsidP="00A2256E">
      <w:pPr>
        <w:rPr>
          <w:sz w:val="22"/>
          <w:szCs w:val="22"/>
        </w:rPr>
      </w:pPr>
    </w:p>
    <w:p w:rsidR="00A2256E" w:rsidRPr="00844DF6" w:rsidRDefault="00A2256E" w:rsidP="00A2256E">
      <w:pPr>
        <w:jc w:val="both"/>
        <w:rPr>
          <w:color w:val="0B0C0C"/>
          <w:sz w:val="22"/>
          <w:szCs w:val="22"/>
          <w:shd w:val="clear" w:color="auto" w:fill="FFFFFF"/>
        </w:rPr>
      </w:pPr>
      <w:r w:rsidRPr="00844DF6">
        <w:rPr>
          <w:sz w:val="22"/>
          <w:szCs w:val="22"/>
        </w:rPr>
        <w:t xml:space="preserve">Fire drills were temporarily suspended when STFC sites reopened at Alert Level 3. As site occupancy increases and approaches the 50% ‘hold point’ the decision has been made to </w:t>
      </w:r>
      <w:r w:rsidRPr="00844DF6">
        <w:rPr>
          <w:color w:val="0B0C0C"/>
          <w:sz w:val="22"/>
          <w:szCs w:val="22"/>
          <w:shd w:val="clear" w:color="auto" w:fill="FFFFFF"/>
        </w:rPr>
        <w:t>reinstate fire drills. Social distancing is still a primary control to prevent the spread of COVID-19 and consequently each fire drill will be pre-announced so that personnel can prepare to leave in an orderly, socially distanced manner, wearing a face covering as is now required in shared spaces within buildings.</w:t>
      </w:r>
    </w:p>
    <w:p w:rsidR="00A2256E" w:rsidRPr="00844DF6" w:rsidRDefault="00A2256E" w:rsidP="00A2256E">
      <w:pPr>
        <w:jc w:val="both"/>
        <w:rPr>
          <w:sz w:val="22"/>
          <w:szCs w:val="22"/>
        </w:rPr>
      </w:pPr>
    </w:p>
    <w:p w:rsidR="00A2256E" w:rsidRPr="00844DF6" w:rsidRDefault="00A2256E" w:rsidP="00A2256E">
      <w:pPr>
        <w:jc w:val="both"/>
        <w:rPr>
          <w:b/>
          <w:sz w:val="22"/>
          <w:szCs w:val="22"/>
        </w:rPr>
      </w:pPr>
      <w:r w:rsidRPr="00844DF6">
        <w:rPr>
          <w:b/>
          <w:sz w:val="22"/>
          <w:szCs w:val="22"/>
        </w:rPr>
        <w:t>6.2</w:t>
      </w:r>
      <w:r w:rsidRPr="00844DF6">
        <w:rPr>
          <w:b/>
          <w:sz w:val="22"/>
          <w:szCs w:val="22"/>
        </w:rPr>
        <w:tab/>
        <w:t>Fire extinguisher maintenance</w:t>
      </w:r>
    </w:p>
    <w:p w:rsidR="00A2256E" w:rsidRPr="00844DF6" w:rsidRDefault="00A2256E" w:rsidP="00A2256E">
      <w:pPr>
        <w:jc w:val="both"/>
        <w:rPr>
          <w:sz w:val="22"/>
          <w:szCs w:val="22"/>
        </w:rPr>
      </w:pPr>
    </w:p>
    <w:p w:rsidR="00A2256E" w:rsidRPr="00844DF6" w:rsidRDefault="00A2256E" w:rsidP="00A2256E">
      <w:pPr>
        <w:jc w:val="both"/>
        <w:rPr>
          <w:sz w:val="22"/>
          <w:szCs w:val="22"/>
        </w:rPr>
      </w:pPr>
      <w:r w:rsidRPr="00844DF6">
        <w:rPr>
          <w:sz w:val="22"/>
          <w:szCs w:val="22"/>
        </w:rPr>
        <w:t xml:space="preserve">The fire extinguisher maintenance programme is continuing and access arrangements have been less problematic in Q2, ensuring that departments remain compliant.  </w:t>
      </w:r>
    </w:p>
    <w:p w:rsidR="00A2256E" w:rsidRPr="00844DF6" w:rsidRDefault="00A2256E" w:rsidP="00A2256E">
      <w:pPr>
        <w:jc w:val="both"/>
        <w:rPr>
          <w:sz w:val="22"/>
          <w:szCs w:val="22"/>
        </w:rPr>
      </w:pPr>
    </w:p>
    <w:p w:rsidR="00A2256E" w:rsidRPr="00844DF6" w:rsidRDefault="00A2256E" w:rsidP="00A2256E">
      <w:pPr>
        <w:jc w:val="both"/>
        <w:rPr>
          <w:b/>
        </w:rPr>
      </w:pPr>
      <w:r w:rsidRPr="00844DF6">
        <w:rPr>
          <w:b/>
          <w:sz w:val="22"/>
          <w:szCs w:val="22"/>
        </w:rPr>
        <w:t>6.3</w:t>
      </w:r>
      <w:r w:rsidRPr="00844DF6">
        <w:rPr>
          <w:b/>
          <w:sz w:val="22"/>
          <w:szCs w:val="22"/>
        </w:rPr>
        <w:tab/>
        <w:t>Fire Risk Assessments</w:t>
      </w:r>
    </w:p>
    <w:p w:rsidR="00A2256E" w:rsidRPr="00844DF6" w:rsidRDefault="00A2256E" w:rsidP="00A2256E">
      <w:pPr>
        <w:jc w:val="both"/>
        <w:rPr>
          <w:b/>
          <w:sz w:val="22"/>
          <w:szCs w:val="22"/>
        </w:rPr>
      </w:pPr>
    </w:p>
    <w:p w:rsidR="00A2256E" w:rsidRPr="00844DF6" w:rsidRDefault="00A2256E" w:rsidP="00A2256E">
      <w:pPr>
        <w:jc w:val="both"/>
        <w:rPr>
          <w:sz w:val="22"/>
          <w:szCs w:val="22"/>
        </w:rPr>
      </w:pPr>
      <w:r w:rsidRPr="00844DF6">
        <w:rPr>
          <w:sz w:val="22"/>
          <w:szCs w:val="22"/>
        </w:rPr>
        <w:t xml:space="preserve">Building Fire Managers are asked to keep their fire risk assessments under review, particularly in relation to COVID-19 building changes, for example doors being held open, and storage of flammable hand sanitisers, etc.  </w:t>
      </w:r>
    </w:p>
    <w:p w:rsidR="00A2256E" w:rsidRPr="00844DF6" w:rsidRDefault="00A2256E" w:rsidP="00A2256E">
      <w:pPr>
        <w:jc w:val="both"/>
        <w:rPr>
          <w:sz w:val="22"/>
          <w:szCs w:val="22"/>
        </w:rPr>
      </w:pPr>
    </w:p>
    <w:p w:rsidR="00A2256E" w:rsidRPr="00844DF6" w:rsidRDefault="00A2256E" w:rsidP="00A2256E">
      <w:pPr>
        <w:jc w:val="both"/>
        <w:rPr>
          <w:sz w:val="22"/>
          <w:szCs w:val="22"/>
        </w:rPr>
      </w:pPr>
      <w:r w:rsidRPr="00844DF6">
        <w:rPr>
          <w:sz w:val="22"/>
          <w:szCs w:val="22"/>
        </w:rPr>
        <w:t xml:space="preserve">With the explicit approval of the Fire Safety Advisor, some departments were permitted to hold back specific internal fire doors, with the stipulation that these were closed before staff departed from site. There have been several reports where this has not been done, and wedges being left in situ. Most recently a hygiene station was actually used to wedge open a fire door in R1, and was only discovered when Security staff were conducting their night rounds in the building.  Departments are reminded that permission to hold back fire doors, where granted, may be rescinded if such breaches continue. </w:t>
      </w:r>
    </w:p>
    <w:p w:rsidR="00A2256E" w:rsidRPr="00844DF6" w:rsidRDefault="00A2256E" w:rsidP="00A2256E">
      <w:pPr>
        <w:rPr>
          <w:sz w:val="22"/>
          <w:szCs w:val="22"/>
        </w:rPr>
      </w:pPr>
    </w:p>
    <w:p w:rsidR="00A2256E" w:rsidRPr="00844DF6" w:rsidRDefault="00A2256E" w:rsidP="00A2256E">
      <w:pPr>
        <w:rPr>
          <w:sz w:val="22"/>
          <w:szCs w:val="22"/>
        </w:rPr>
      </w:pPr>
    </w:p>
    <w:p w:rsidR="00A2256E" w:rsidRPr="00844DF6" w:rsidRDefault="00A2256E" w:rsidP="00A2256E">
      <w:pPr>
        <w:rPr>
          <w:sz w:val="22"/>
          <w:szCs w:val="22"/>
        </w:rPr>
      </w:pPr>
    </w:p>
    <w:p w:rsidR="00A2256E" w:rsidRPr="00844DF6" w:rsidRDefault="00A2256E" w:rsidP="00A2256E">
      <w:pPr>
        <w:rPr>
          <w:sz w:val="22"/>
          <w:szCs w:val="22"/>
        </w:rPr>
      </w:pPr>
    </w:p>
    <w:p w:rsidR="00A2256E" w:rsidRPr="00844DF6" w:rsidRDefault="00A2256E" w:rsidP="00A2256E">
      <w:pPr>
        <w:rPr>
          <w:sz w:val="22"/>
          <w:szCs w:val="22"/>
        </w:rPr>
      </w:pPr>
    </w:p>
    <w:p w:rsidR="00A2256E" w:rsidRPr="00844DF6" w:rsidRDefault="00A2256E" w:rsidP="00A2256E">
      <w:pPr>
        <w:rPr>
          <w:sz w:val="22"/>
          <w:szCs w:val="22"/>
        </w:rPr>
      </w:pPr>
    </w:p>
    <w:p w:rsidR="00A2256E" w:rsidRPr="00844DF6" w:rsidRDefault="00A2256E" w:rsidP="00A2256E">
      <w:r w:rsidRPr="00844DF6">
        <w:rPr>
          <w:b/>
        </w:rPr>
        <w:t>7.</w:t>
      </w:r>
      <w:r w:rsidRPr="00844DF6">
        <w:rPr>
          <w:b/>
        </w:rPr>
        <w:tab/>
        <w:t>Statutory Inspection Programme</w:t>
      </w:r>
    </w:p>
    <w:p w:rsidR="00A2256E" w:rsidRPr="00844DF6" w:rsidRDefault="00A2256E" w:rsidP="00A2256E">
      <w:pPr>
        <w:jc w:val="both"/>
        <w:rPr>
          <w:b/>
          <w:sz w:val="22"/>
          <w:szCs w:val="22"/>
        </w:rPr>
      </w:pPr>
    </w:p>
    <w:p w:rsidR="00A2256E" w:rsidRPr="00844DF6" w:rsidRDefault="00A2256E" w:rsidP="00A2256E">
      <w:pPr>
        <w:jc w:val="both"/>
        <w:rPr>
          <w:sz w:val="22"/>
          <w:szCs w:val="22"/>
        </w:rPr>
      </w:pPr>
      <w:r w:rsidRPr="00844DF6">
        <w:rPr>
          <w:sz w:val="22"/>
          <w:szCs w:val="22"/>
        </w:rPr>
        <w:t>The statutory inspection programme has continued throughout Q2, with inspections across all three disciplines: LOLER, LEV and Pressure Systems. The SHE administrative effort needed to coordinate British Engineering Services (BES) engineers and over 150 departmental Liaison Officers (LOs) continues to be a huge logistical challenge, predicated on the ongoing support of these key departmental staff. SHE Group would like to acknowledge their invaluable support to the programme, particularly as we continue to operate at Alert Level 3 and the HSE has permitted no relaxation in requirements to conduct statutory tests.</w:t>
      </w:r>
    </w:p>
    <w:p w:rsidR="00A2256E" w:rsidRPr="00844DF6" w:rsidRDefault="00A2256E" w:rsidP="00A2256E">
      <w:pPr>
        <w:jc w:val="both"/>
        <w:rPr>
          <w:sz w:val="22"/>
          <w:szCs w:val="22"/>
        </w:rPr>
      </w:pPr>
    </w:p>
    <w:p w:rsidR="00A2256E" w:rsidRPr="00844DF6" w:rsidRDefault="00A2256E" w:rsidP="00A2256E">
      <w:pPr>
        <w:jc w:val="both"/>
        <w:rPr>
          <w:sz w:val="22"/>
          <w:szCs w:val="22"/>
        </w:rPr>
      </w:pPr>
    </w:p>
    <w:p w:rsidR="00A2256E" w:rsidRPr="00844DF6" w:rsidRDefault="00A2256E" w:rsidP="00A2256E">
      <w:pPr>
        <w:ind w:left="426" w:hanging="426"/>
        <w:jc w:val="both"/>
        <w:rPr>
          <w:b/>
        </w:rPr>
      </w:pPr>
      <w:r w:rsidRPr="00844DF6">
        <w:rPr>
          <w:b/>
        </w:rPr>
        <w:t>8.</w:t>
      </w:r>
      <w:r w:rsidRPr="00844DF6">
        <w:rPr>
          <w:b/>
        </w:rPr>
        <w:tab/>
        <w:t>Occupational Health</w:t>
      </w:r>
    </w:p>
    <w:p w:rsidR="00A2256E" w:rsidRPr="00844DF6" w:rsidRDefault="00A2256E" w:rsidP="00A2256E">
      <w:pPr>
        <w:ind w:left="426" w:hanging="426"/>
        <w:jc w:val="both"/>
        <w:rPr>
          <w:b/>
          <w:sz w:val="22"/>
          <w:szCs w:val="22"/>
        </w:rPr>
      </w:pPr>
    </w:p>
    <w:p w:rsidR="00A2256E" w:rsidRPr="00844DF6" w:rsidRDefault="00A2256E" w:rsidP="00A2256E">
      <w:pPr>
        <w:jc w:val="both"/>
        <w:rPr>
          <w:sz w:val="22"/>
          <w:szCs w:val="22"/>
        </w:rPr>
      </w:pPr>
      <w:r w:rsidRPr="00844DF6">
        <w:rPr>
          <w:sz w:val="22"/>
          <w:szCs w:val="22"/>
        </w:rPr>
        <w:t xml:space="preserve">Face-to-face consultations with the Occupational Health Physician and Nurse have resumed on site, although some medical assessments have been temporarily suspended (for example spirometry).  </w:t>
      </w:r>
    </w:p>
    <w:p w:rsidR="00A2256E" w:rsidRPr="00844DF6" w:rsidRDefault="00A2256E" w:rsidP="00A2256E">
      <w:pPr>
        <w:jc w:val="both"/>
        <w:rPr>
          <w:sz w:val="22"/>
          <w:szCs w:val="22"/>
        </w:rPr>
      </w:pPr>
    </w:p>
    <w:p w:rsidR="00A2256E" w:rsidRPr="00844DF6" w:rsidRDefault="00A2256E" w:rsidP="00A2256E">
      <w:pPr>
        <w:jc w:val="both"/>
        <w:rPr>
          <w:sz w:val="22"/>
          <w:szCs w:val="22"/>
        </w:rPr>
      </w:pPr>
      <w:r w:rsidRPr="00844DF6">
        <w:rPr>
          <w:sz w:val="22"/>
          <w:szCs w:val="22"/>
        </w:rPr>
        <w:t xml:space="preserve">An STFC flu vaccination programme is currently underway at </w:t>
      </w:r>
      <w:r w:rsidRPr="00844DF6">
        <w:rPr>
          <w:sz w:val="22"/>
          <w:szCs w:val="22"/>
        </w:rPr>
        <w:t xml:space="preserve">both </w:t>
      </w:r>
      <w:r w:rsidRPr="00844DF6">
        <w:rPr>
          <w:sz w:val="22"/>
          <w:szCs w:val="22"/>
        </w:rPr>
        <w:t>Daresbury</w:t>
      </w:r>
      <w:r w:rsidRPr="00844DF6">
        <w:rPr>
          <w:sz w:val="22"/>
          <w:szCs w:val="22"/>
        </w:rPr>
        <w:t xml:space="preserve"> and RAL</w:t>
      </w:r>
      <w:r w:rsidRPr="00844DF6">
        <w:rPr>
          <w:sz w:val="22"/>
          <w:szCs w:val="22"/>
        </w:rPr>
        <w:t xml:space="preserve"> and </w:t>
      </w:r>
      <w:r w:rsidR="00F57954" w:rsidRPr="00844DF6">
        <w:rPr>
          <w:sz w:val="22"/>
          <w:szCs w:val="22"/>
        </w:rPr>
        <w:t xml:space="preserve">is taking place in Ridgeway House with </w:t>
      </w:r>
      <w:r w:rsidRPr="00844DF6">
        <w:rPr>
          <w:sz w:val="22"/>
          <w:szCs w:val="22"/>
        </w:rPr>
        <w:t>Team Prevent providing the service.</w:t>
      </w:r>
    </w:p>
    <w:p w:rsidR="00A2256E" w:rsidRPr="00844DF6" w:rsidRDefault="00A2256E" w:rsidP="00A2256E">
      <w:pPr>
        <w:jc w:val="both"/>
        <w:rPr>
          <w:sz w:val="22"/>
          <w:szCs w:val="22"/>
        </w:rPr>
      </w:pPr>
    </w:p>
    <w:p w:rsidR="004A7609" w:rsidRPr="00844DF6" w:rsidRDefault="004A7609" w:rsidP="004A7609">
      <w:pPr>
        <w:jc w:val="both"/>
        <w:rPr>
          <w:b/>
          <w:color w:val="FF0000"/>
          <w:sz w:val="20"/>
          <w:szCs w:val="20"/>
          <w:u w:val="single"/>
        </w:rPr>
        <w:sectPr w:rsidR="004A7609" w:rsidRPr="00844DF6" w:rsidSect="004C58E1">
          <w:footerReference w:type="even" r:id="rId15"/>
          <w:footerReference w:type="default" r:id="rId16"/>
          <w:pgSz w:w="11906" w:h="16838" w:code="9"/>
          <w:pgMar w:top="1440" w:right="1134" w:bottom="1440" w:left="1440" w:header="709" w:footer="709" w:gutter="0"/>
          <w:cols w:space="708"/>
          <w:docGrid w:linePitch="360"/>
        </w:sectPr>
      </w:pPr>
    </w:p>
    <w:p w:rsidR="00F001CC" w:rsidRPr="00844DF6" w:rsidRDefault="00847069" w:rsidP="004A7609">
      <w:pPr>
        <w:jc w:val="both"/>
        <w:rPr>
          <w:b/>
          <w:sz w:val="20"/>
          <w:szCs w:val="20"/>
          <w:u w:val="single"/>
        </w:rPr>
      </w:pPr>
      <w:r w:rsidRPr="00844DF6">
        <w:rPr>
          <w:b/>
          <w:sz w:val="20"/>
          <w:szCs w:val="20"/>
          <w:u w:val="single"/>
        </w:rPr>
        <w:lastRenderedPageBreak/>
        <w:t xml:space="preserve">Appendix 1. </w:t>
      </w:r>
      <w:r w:rsidR="004A7609" w:rsidRPr="00844DF6">
        <w:rPr>
          <w:b/>
          <w:sz w:val="20"/>
          <w:szCs w:val="20"/>
          <w:u w:val="single"/>
        </w:rPr>
        <w:t>Risk Assessments overdue or due in next quarter</w:t>
      </w:r>
    </w:p>
    <w:p w:rsidR="00847069" w:rsidRPr="00844DF6" w:rsidRDefault="00847069" w:rsidP="007916C1">
      <w:pPr>
        <w:rPr>
          <w:b/>
          <w:color w:val="FF0000"/>
          <w:sz w:val="20"/>
          <w:szCs w:val="20"/>
          <w:u w:val="single"/>
        </w:rPr>
      </w:pPr>
    </w:p>
    <w:tbl>
      <w:tblPr>
        <w:tblpPr w:leftFromText="180" w:rightFromText="180" w:vertAnchor="page" w:horzAnchor="margin" w:tblpY="1957"/>
        <w:tblW w:w="13821" w:type="dxa"/>
        <w:tblLook w:val="04A0" w:firstRow="1" w:lastRow="0" w:firstColumn="1" w:lastColumn="0" w:noHBand="0" w:noVBand="1"/>
      </w:tblPr>
      <w:tblGrid>
        <w:gridCol w:w="780"/>
        <w:gridCol w:w="1134"/>
        <w:gridCol w:w="1134"/>
        <w:gridCol w:w="1842"/>
        <w:gridCol w:w="1418"/>
        <w:gridCol w:w="1417"/>
        <w:gridCol w:w="1418"/>
        <w:gridCol w:w="992"/>
        <w:gridCol w:w="1276"/>
        <w:gridCol w:w="1276"/>
        <w:gridCol w:w="1134"/>
      </w:tblGrid>
      <w:tr w:rsidR="004A7609" w:rsidRPr="00844DF6" w:rsidTr="004A7609">
        <w:trPr>
          <w:trHeight w:val="2964"/>
        </w:trPr>
        <w:tc>
          <w:tcPr>
            <w:tcW w:w="780" w:type="dxa"/>
            <w:tcBorders>
              <w:top w:val="single" w:sz="8" w:space="0" w:color="C4C6C8"/>
              <w:left w:val="single" w:sz="8" w:space="0" w:color="C4C6C8"/>
              <w:bottom w:val="single" w:sz="8" w:space="0" w:color="BBC0C3"/>
              <w:right w:val="nil"/>
            </w:tcBorders>
            <w:shd w:val="clear" w:color="4F81BD" w:fill="4F81BD"/>
            <w:noWrap/>
            <w:textDirection w:val="btLr"/>
            <w:vAlign w:val="center"/>
            <w:hideMark/>
          </w:tcPr>
          <w:p w:rsidR="004A7609" w:rsidRPr="00844DF6" w:rsidRDefault="004A7609" w:rsidP="004A7609">
            <w:pPr>
              <w:jc w:val="center"/>
              <w:rPr>
                <w:rFonts w:ascii="Calibri" w:hAnsi="Calibri" w:cs="Calibri"/>
                <w:b/>
                <w:bCs/>
                <w:color w:val="FFFFFF"/>
                <w:sz w:val="20"/>
                <w:szCs w:val="20"/>
              </w:rPr>
            </w:pPr>
            <w:r w:rsidRPr="00844DF6">
              <w:rPr>
                <w:rFonts w:ascii="Calibri" w:hAnsi="Calibri" w:cs="Calibri"/>
                <w:b/>
                <w:bCs/>
                <w:color w:val="FFFFFF"/>
                <w:sz w:val="20"/>
                <w:szCs w:val="20"/>
              </w:rPr>
              <w:t>Reference</w:t>
            </w:r>
          </w:p>
        </w:tc>
        <w:tc>
          <w:tcPr>
            <w:tcW w:w="1134" w:type="dxa"/>
            <w:tcBorders>
              <w:top w:val="single" w:sz="8" w:space="0" w:color="C4C6C8"/>
              <w:left w:val="single" w:sz="8" w:space="0" w:color="BBC0C3"/>
              <w:bottom w:val="single" w:sz="8" w:space="0" w:color="BBC0C3"/>
              <w:right w:val="nil"/>
            </w:tcBorders>
            <w:shd w:val="clear" w:color="4F81BD" w:fill="4F81BD"/>
            <w:noWrap/>
            <w:textDirection w:val="btLr"/>
            <w:vAlign w:val="center"/>
            <w:hideMark/>
          </w:tcPr>
          <w:p w:rsidR="004A7609" w:rsidRPr="00844DF6" w:rsidRDefault="004A7609" w:rsidP="004A7609">
            <w:pPr>
              <w:jc w:val="center"/>
              <w:rPr>
                <w:rFonts w:ascii="Calibri" w:hAnsi="Calibri" w:cs="Calibri"/>
                <w:b/>
                <w:bCs/>
                <w:color w:val="FFFFFF"/>
                <w:sz w:val="20"/>
                <w:szCs w:val="20"/>
              </w:rPr>
            </w:pPr>
            <w:r w:rsidRPr="00844DF6">
              <w:rPr>
                <w:rFonts w:ascii="Calibri" w:hAnsi="Calibri" w:cs="Calibri"/>
                <w:b/>
                <w:bCs/>
                <w:color w:val="FFFFFF"/>
                <w:sz w:val="20"/>
                <w:szCs w:val="20"/>
              </w:rPr>
              <w:t>Location</w:t>
            </w:r>
          </w:p>
        </w:tc>
        <w:tc>
          <w:tcPr>
            <w:tcW w:w="1134" w:type="dxa"/>
            <w:tcBorders>
              <w:top w:val="single" w:sz="8" w:space="0" w:color="C4C6C8"/>
              <w:left w:val="single" w:sz="8" w:space="0" w:color="BBC0C3"/>
              <w:bottom w:val="single" w:sz="8" w:space="0" w:color="BBC0C3"/>
              <w:right w:val="nil"/>
            </w:tcBorders>
            <w:shd w:val="clear" w:color="4F81BD" w:fill="4F81BD"/>
            <w:noWrap/>
            <w:textDirection w:val="btLr"/>
            <w:vAlign w:val="center"/>
            <w:hideMark/>
          </w:tcPr>
          <w:p w:rsidR="004A7609" w:rsidRPr="00844DF6" w:rsidRDefault="004A7609" w:rsidP="004A7609">
            <w:pPr>
              <w:jc w:val="center"/>
              <w:rPr>
                <w:rFonts w:ascii="Calibri" w:hAnsi="Calibri" w:cs="Calibri"/>
                <w:b/>
                <w:bCs/>
                <w:color w:val="FFFFFF"/>
                <w:sz w:val="20"/>
                <w:szCs w:val="20"/>
              </w:rPr>
            </w:pPr>
            <w:r w:rsidRPr="00844DF6">
              <w:rPr>
                <w:rFonts w:ascii="Calibri" w:hAnsi="Calibri" w:cs="Calibri"/>
                <w:b/>
                <w:bCs/>
                <w:color w:val="FFFFFF"/>
                <w:sz w:val="20"/>
                <w:szCs w:val="20"/>
              </w:rPr>
              <w:t>Assessor Name</w:t>
            </w:r>
          </w:p>
        </w:tc>
        <w:tc>
          <w:tcPr>
            <w:tcW w:w="1842" w:type="dxa"/>
            <w:tcBorders>
              <w:top w:val="single" w:sz="8" w:space="0" w:color="C4C6C8"/>
              <w:left w:val="single" w:sz="8" w:space="0" w:color="BBC0C3"/>
              <w:bottom w:val="single" w:sz="8" w:space="0" w:color="BBC0C3"/>
              <w:right w:val="nil"/>
            </w:tcBorders>
            <w:shd w:val="clear" w:color="4F81BD" w:fill="4F81BD"/>
            <w:noWrap/>
            <w:textDirection w:val="btLr"/>
            <w:vAlign w:val="center"/>
            <w:hideMark/>
          </w:tcPr>
          <w:p w:rsidR="004A7609" w:rsidRPr="00844DF6" w:rsidRDefault="004A7609" w:rsidP="004A7609">
            <w:pPr>
              <w:jc w:val="center"/>
              <w:rPr>
                <w:rFonts w:ascii="Calibri" w:hAnsi="Calibri" w:cs="Calibri"/>
                <w:b/>
                <w:bCs/>
                <w:color w:val="FFFFFF"/>
                <w:sz w:val="20"/>
                <w:szCs w:val="20"/>
              </w:rPr>
            </w:pPr>
            <w:r w:rsidRPr="00844DF6">
              <w:rPr>
                <w:rFonts w:ascii="Calibri" w:hAnsi="Calibri" w:cs="Calibri"/>
                <w:b/>
                <w:bCs/>
                <w:color w:val="FFFFFF"/>
                <w:sz w:val="20"/>
                <w:szCs w:val="20"/>
              </w:rPr>
              <w:t>Assessment Title</w:t>
            </w:r>
          </w:p>
        </w:tc>
        <w:tc>
          <w:tcPr>
            <w:tcW w:w="1418" w:type="dxa"/>
            <w:tcBorders>
              <w:top w:val="single" w:sz="8" w:space="0" w:color="C4C6C8"/>
              <w:left w:val="single" w:sz="8" w:space="0" w:color="BBC0C3"/>
              <w:bottom w:val="single" w:sz="8" w:space="0" w:color="BBC0C3"/>
              <w:right w:val="nil"/>
            </w:tcBorders>
            <w:shd w:val="clear" w:color="4F81BD" w:fill="4F81BD"/>
            <w:noWrap/>
            <w:textDirection w:val="btLr"/>
            <w:vAlign w:val="center"/>
            <w:hideMark/>
          </w:tcPr>
          <w:p w:rsidR="004A7609" w:rsidRPr="00844DF6" w:rsidRDefault="004A7609" w:rsidP="004A7609">
            <w:pPr>
              <w:jc w:val="center"/>
              <w:rPr>
                <w:rFonts w:ascii="Calibri" w:hAnsi="Calibri" w:cs="Calibri"/>
                <w:b/>
                <w:bCs/>
                <w:color w:val="FFFFFF"/>
                <w:sz w:val="20"/>
                <w:szCs w:val="20"/>
              </w:rPr>
            </w:pPr>
            <w:r w:rsidRPr="00844DF6">
              <w:rPr>
                <w:rFonts w:ascii="Calibri" w:hAnsi="Calibri" w:cs="Calibri"/>
                <w:b/>
                <w:bCs/>
                <w:color w:val="FFFFFF"/>
                <w:sz w:val="20"/>
                <w:szCs w:val="20"/>
              </w:rPr>
              <w:t>Assessment Date</w:t>
            </w:r>
          </w:p>
        </w:tc>
        <w:tc>
          <w:tcPr>
            <w:tcW w:w="1417" w:type="dxa"/>
            <w:tcBorders>
              <w:top w:val="single" w:sz="8" w:space="0" w:color="C4C6C8"/>
              <w:left w:val="single" w:sz="8" w:space="0" w:color="BBC0C3"/>
              <w:bottom w:val="single" w:sz="8" w:space="0" w:color="BBC0C3"/>
              <w:right w:val="nil"/>
            </w:tcBorders>
            <w:shd w:val="clear" w:color="4F81BD" w:fill="4F81BD"/>
            <w:noWrap/>
            <w:textDirection w:val="btLr"/>
            <w:vAlign w:val="center"/>
            <w:hideMark/>
          </w:tcPr>
          <w:p w:rsidR="004A7609" w:rsidRPr="00844DF6" w:rsidRDefault="004A7609" w:rsidP="004A7609">
            <w:pPr>
              <w:jc w:val="center"/>
              <w:rPr>
                <w:rFonts w:ascii="Calibri" w:hAnsi="Calibri" w:cs="Calibri"/>
                <w:b/>
                <w:bCs/>
                <w:color w:val="FFFFFF"/>
                <w:sz w:val="20"/>
                <w:szCs w:val="20"/>
              </w:rPr>
            </w:pPr>
            <w:r w:rsidRPr="00844DF6">
              <w:rPr>
                <w:rFonts w:ascii="Calibri" w:hAnsi="Calibri" w:cs="Calibri"/>
                <w:b/>
                <w:bCs/>
                <w:color w:val="FFFFFF"/>
                <w:sz w:val="20"/>
                <w:szCs w:val="20"/>
              </w:rPr>
              <w:t>Review Date</w:t>
            </w:r>
          </w:p>
        </w:tc>
        <w:tc>
          <w:tcPr>
            <w:tcW w:w="1418" w:type="dxa"/>
            <w:tcBorders>
              <w:top w:val="single" w:sz="8" w:space="0" w:color="C4C6C8"/>
              <w:left w:val="single" w:sz="8" w:space="0" w:color="BBC0C3"/>
              <w:bottom w:val="single" w:sz="8" w:space="0" w:color="BBC0C3"/>
              <w:right w:val="nil"/>
            </w:tcBorders>
            <w:shd w:val="clear" w:color="4F81BD" w:fill="4F81BD"/>
            <w:noWrap/>
            <w:textDirection w:val="btLr"/>
            <w:vAlign w:val="center"/>
            <w:hideMark/>
          </w:tcPr>
          <w:p w:rsidR="004A7609" w:rsidRPr="00844DF6" w:rsidRDefault="004A7609" w:rsidP="004A7609">
            <w:pPr>
              <w:jc w:val="center"/>
              <w:rPr>
                <w:rFonts w:ascii="Calibri" w:hAnsi="Calibri" w:cs="Calibri"/>
                <w:b/>
                <w:bCs/>
                <w:color w:val="FFFFFF"/>
                <w:sz w:val="20"/>
                <w:szCs w:val="20"/>
              </w:rPr>
            </w:pPr>
            <w:r w:rsidRPr="00844DF6">
              <w:rPr>
                <w:rFonts w:ascii="Calibri" w:hAnsi="Calibri" w:cs="Calibri"/>
                <w:b/>
                <w:bCs/>
                <w:color w:val="FFFFFF"/>
                <w:sz w:val="20"/>
                <w:szCs w:val="20"/>
              </w:rPr>
              <w:t>Modified Review Date</w:t>
            </w:r>
          </w:p>
        </w:tc>
        <w:tc>
          <w:tcPr>
            <w:tcW w:w="992" w:type="dxa"/>
            <w:tcBorders>
              <w:top w:val="single" w:sz="8" w:space="0" w:color="C4C6C8"/>
              <w:left w:val="single" w:sz="8" w:space="0" w:color="BBC0C3"/>
              <w:bottom w:val="single" w:sz="8" w:space="0" w:color="BBC0C3"/>
              <w:right w:val="nil"/>
            </w:tcBorders>
            <w:shd w:val="clear" w:color="4F81BD" w:fill="4F81BD"/>
            <w:noWrap/>
            <w:textDirection w:val="btLr"/>
            <w:vAlign w:val="center"/>
            <w:hideMark/>
          </w:tcPr>
          <w:p w:rsidR="004A7609" w:rsidRPr="00844DF6" w:rsidRDefault="004A7609" w:rsidP="004A7609">
            <w:pPr>
              <w:jc w:val="center"/>
              <w:rPr>
                <w:rFonts w:ascii="Calibri" w:hAnsi="Calibri" w:cs="Calibri"/>
                <w:b/>
                <w:bCs/>
                <w:color w:val="FFFFFF"/>
                <w:sz w:val="20"/>
                <w:szCs w:val="20"/>
              </w:rPr>
            </w:pPr>
            <w:r w:rsidRPr="00844DF6">
              <w:rPr>
                <w:rFonts w:ascii="Calibri" w:hAnsi="Calibri" w:cs="Calibri"/>
                <w:b/>
                <w:bCs/>
                <w:color w:val="FFFFFF"/>
                <w:sz w:val="20"/>
                <w:szCs w:val="20"/>
              </w:rPr>
              <w:t>Status</w:t>
            </w:r>
          </w:p>
        </w:tc>
        <w:tc>
          <w:tcPr>
            <w:tcW w:w="1276" w:type="dxa"/>
            <w:tcBorders>
              <w:top w:val="single" w:sz="8" w:space="0" w:color="C4C6C8"/>
              <w:left w:val="single" w:sz="8" w:space="0" w:color="BBC0C3"/>
              <w:bottom w:val="single" w:sz="8" w:space="0" w:color="BBC0C3"/>
              <w:right w:val="nil"/>
            </w:tcBorders>
            <w:shd w:val="clear" w:color="4F81BD" w:fill="4F81BD"/>
            <w:noWrap/>
            <w:textDirection w:val="btLr"/>
            <w:vAlign w:val="center"/>
            <w:hideMark/>
          </w:tcPr>
          <w:p w:rsidR="004A7609" w:rsidRPr="00844DF6" w:rsidRDefault="004A7609" w:rsidP="004A7609">
            <w:pPr>
              <w:jc w:val="center"/>
              <w:rPr>
                <w:rFonts w:ascii="Calibri" w:hAnsi="Calibri" w:cs="Calibri"/>
                <w:b/>
                <w:bCs/>
                <w:color w:val="FFFFFF"/>
                <w:sz w:val="20"/>
                <w:szCs w:val="20"/>
              </w:rPr>
            </w:pPr>
            <w:r w:rsidRPr="00844DF6">
              <w:rPr>
                <w:rFonts w:ascii="Calibri" w:hAnsi="Calibri" w:cs="Calibri"/>
                <w:b/>
                <w:bCs/>
                <w:color w:val="FFFFFF"/>
                <w:sz w:val="20"/>
                <w:szCs w:val="20"/>
              </w:rPr>
              <w:t>Date Record Created</w:t>
            </w:r>
          </w:p>
        </w:tc>
        <w:tc>
          <w:tcPr>
            <w:tcW w:w="1276" w:type="dxa"/>
            <w:tcBorders>
              <w:top w:val="single" w:sz="8" w:space="0" w:color="C4C6C8"/>
              <w:left w:val="single" w:sz="8" w:space="0" w:color="BBC0C3"/>
              <w:bottom w:val="single" w:sz="8" w:space="0" w:color="BBC0C3"/>
              <w:right w:val="nil"/>
            </w:tcBorders>
            <w:shd w:val="clear" w:color="4F81BD" w:fill="4F81BD"/>
            <w:noWrap/>
            <w:textDirection w:val="btLr"/>
            <w:vAlign w:val="center"/>
            <w:hideMark/>
          </w:tcPr>
          <w:p w:rsidR="004A7609" w:rsidRPr="00844DF6" w:rsidRDefault="004A7609" w:rsidP="004A7609">
            <w:pPr>
              <w:jc w:val="center"/>
              <w:rPr>
                <w:rFonts w:ascii="Calibri" w:hAnsi="Calibri" w:cs="Calibri"/>
                <w:b/>
                <w:bCs/>
                <w:color w:val="FFFFFF"/>
                <w:sz w:val="20"/>
                <w:szCs w:val="20"/>
              </w:rPr>
            </w:pPr>
            <w:r w:rsidRPr="00844DF6">
              <w:rPr>
                <w:rFonts w:ascii="Calibri" w:hAnsi="Calibri" w:cs="Calibri"/>
                <w:b/>
                <w:bCs/>
                <w:color w:val="FFFFFF"/>
                <w:sz w:val="20"/>
                <w:szCs w:val="20"/>
              </w:rPr>
              <w:t>Date Modified</w:t>
            </w:r>
          </w:p>
        </w:tc>
        <w:tc>
          <w:tcPr>
            <w:tcW w:w="1134" w:type="dxa"/>
            <w:tcBorders>
              <w:top w:val="single" w:sz="8" w:space="0" w:color="C4C6C8"/>
              <w:left w:val="single" w:sz="8" w:space="0" w:color="BBC0C3"/>
              <w:bottom w:val="single" w:sz="8" w:space="0" w:color="BBC0C3"/>
              <w:right w:val="single" w:sz="4" w:space="0" w:color="4F81BD"/>
            </w:tcBorders>
            <w:shd w:val="clear" w:color="4F81BD" w:fill="4F81BD"/>
            <w:noWrap/>
            <w:textDirection w:val="btLr"/>
            <w:vAlign w:val="center"/>
            <w:hideMark/>
          </w:tcPr>
          <w:p w:rsidR="004A7609" w:rsidRPr="00844DF6" w:rsidRDefault="004A7609" w:rsidP="004A7609">
            <w:pPr>
              <w:jc w:val="center"/>
              <w:rPr>
                <w:rFonts w:ascii="Calibri" w:hAnsi="Calibri" w:cs="Calibri"/>
                <w:b/>
                <w:bCs/>
                <w:color w:val="FFFFFF"/>
                <w:sz w:val="20"/>
                <w:szCs w:val="20"/>
              </w:rPr>
            </w:pPr>
            <w:r w:rsidRPr="00844DF6">
              <w:rPr>
                <w:rFonts w:ascii="Calibri" w:hAnsi="Calibri" w:cs="Calibri"/>
                <w:b/>
                <w:bCs/>
                <w:color w:val="FFFFFF"/>
                <w:sz w:val="20"/>
                <w:szCs w:val="20"/>
              </w:rPr>
              <w:t>Reviewed By</w:t>
            </w:r>
          </w:p>
        </w:tc>
      </w:tr>
      <w:tr w:rsidR="004A7609" w:rsidRPr="00844DF6" w:rsidTr="004A7609">
        <w:trPr>
          <w:trHeight w:val="288"/>
        </w:trPr>
        <w:tc>
          <w:tcPr>
            <w:tcW w:w="780" w:type="dxa"/>
            <w:tcBorders>
              <w:top w:val="single" w:sz="4" w:space="0" w:color="4F81BD"/>
              <w:left w:val="single" w:sz="8" w:space="0" w:color="C4C6C8"/>
              <w:bottom w:val="single" w:sz="8" w:space="0" w:color="BBC0C3"/>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1973</w:t>
            </w:r>
          </w:p>
        </w:tc>
        <w:tc>
          <w:tcPr>
            <w:tcW w:w="1134" w:type="dxa"/>
            <w:tcBorders>
              <w:top w:val="single" w:sz="4" w:space="0" w:color="4F81BD"/>
              <w:left w:val="single" w:sz="8" w:space="0" w:color="BBC0C3"/>
              <w:bottom w:val="single" w:sz="8" w:space="0" w:color="BBC0C3"/>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R12 cleanroom</w:t>
            </w:r>
          </w:p>
        </w:tc>
        <w:tc>
          <w:tcPr>
            <w:tcW w:w="1134" w:type="dxa"/>
            <w:tcBorders>
              <w:top w:val="single" w:sz="4" w:space="0" w:color="4F81BD"/>
              <w:left w:val="single" w:sz="8" w:space="0" w:color="BBC0C3"/>
              <w:bottom w:val="single" w:sz="8" w:space="0" w:color="BBC0C3"/>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Craig Sawyer</w:t>
            </w:r>
          </w:p>
        </w:tc>
        <w:tc>
          <w:tcPr>
            <w:tcW w:w="1842" w:type="dxa"/>
            <w:tcBorders>
              <w:top w:val="single" w:sz="4" w:space="0" w:color="4F81BD"/>
              <w:left w:val="single" w:sz="8" w:space="0" w:color="BBC0C3"/>
              <w:bottom w:val="single" w:sz="8" w:space="0" w:color="BBC0C3"/>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Risk Assessment of ATLAS UV gluing tests</w:t>
            </w:r>
          </w:p>
        </w:tc>
        <w:tc>
          <w:tcPr>
            <w:tcW w:w="1418" w:type="dxa"/>
            <w:tcBorders>
              <w:top w:val="single" w:sz="4" w:space="0" w:color="4F81BD"/>
              <w:left w:val="single" w:sz="8" w:space="0" w:color="BBC0C3"/>
              <w:bottom w:val="single" w:sz="8" w:space="0" w:color="BBC0C3"/>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04/08/2017</w:t>
            </w:r>
          </w:p>
        </w:tc>
        <w:tc>
          <w:tcPr>
            <w:tcW w:w="1417" w:type="dxa"/>
            <w:tcBorders>
              <w:top w:val="single" w:sz="4" w:space="0" w:color="4F81BD"/>
              <w:left w:val="single" w:sz="8" w:space="0" w:color="BBC0C3"/>
              <w:bottom w:val="single" w:sz="8" w:space="0" w:color="BBC0C3"/>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04/08/2019</w:t>
            </w:r>
          </w:p>
        </w:tc>
        <w:tc>
          <w:tcPr>
            <w:tcW w:w="1418" w:type="dxa"/>
            <w:tcBorders>
              <w:top w:val="single" w:sz="4" w:space="0" w:color="4F81BD"/>
              <w:left w:val="single" w:sz="8" w:space="0" w:color="BBC0C3"/>
              <w:bottom w:val="single" w:sz="8" w:space="0" w:color="BBC0C3"/>
              <w:right w:val="nil"/>
            </w:tcBorders>
            <w:shd w:val="clear" w:color="auto" w:fill="FFC7CE"/>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04/08/2019</w:t>
            </w:r>
          </w:p>
        </w:tc>
        <w:tc>
          <w:tcPr>
            <w:tcW w:w="992" w:type="dxa"/>
            <w:tcBorders>
              <w:top w:val="single" w:sz="4" w:space="0" w:color="4F81BD"/>
              <w:left w:val="single" w:sz="8" w:space="0" w:color="BBC0C3"/>
              <w:bottom w:val="single" w:sz="8" w:space="0" w:color="BBC0C3"/>
              <w:right w:val="nil"/>
            </w:tcBorders>
            <w:shd w:val="clear" w:color="auto" w:fill="FFC7CE"/>
            <w:noWrap/>
            <w:hideMark/>
          </w:tcPr>
          <w:p w:rsidR="004A7609" w:rsidRPr="00844DF6" w:rsidRDefault="004A7609" w:rsidP="004A7609">
            <w:pPr>
              <w:rPr>
                <w:rFonts w:ascii="Calibri" w:hAnsi="Calibri" w:cs="Calibri"/>
                <w:color w:val="9C0006"/>
                <w:sz w:val="20"/>
                <w:szCs w:val="20"/>
              </w:rPr>
            </w:pPr>
            <w:r w:rsidRPr="00844DF6">
              <w:rPr>
                <w:rFonts w:ascii="Calibri" w:hAnsi="Calibri" w:cs="Calibri"/>
                <w:color w:val="9C0006"/>
                <w:sz w:val="20"/>
                <w:szCs w:val="20"/>
              </w:rPr>
              <w:t>Overdue</w:t>
            </w:r>
          </w:p>
        </w:tc>
        <w:tc>
          <w:tcPr>
            <w:tcW w:w="1276" w:type="dxa"/>
            <w:tcBorders>
              <w:top w:val="single" w:sz="4" w:space="0" w:color="4F81BD"/>
              <w:left w:val="single" w:sz="8" w:space="0" w:color="BBC0C3"/>
              <w:bottom w:val="single" w:sz="8" w:space="0" w:color="BBC0C3"/>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09/04/2015</w:t>
            </w:r>
          </w:p>
        </w:tc>
        <w:tc>
          <w:tcPr>
            <w:tcW w:w="1276" w:type="dxa"/>
            <w:tcBorders>
              <w:top w:val="single" w:sz="4" w:space="0" w:color="4F81BD"/>
              <w:left w:val="single" w:sz="8" w:space="0" w:color="BBC0C3"/>
              <w:bottom w:val="single" w:sz="8" w:space="0" w:color="BBC0C3"/>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09/03/2020</w:t>
            </w:r>
          </w:p>
        </w:tc>
        <w:tc>
          <w:tcPr>
            <w:tcW w:w="1134" w:type="dxa"/>
            <w:tcBorders>
              <w:top w:val="single" w:sz="4" w:space="0" w:color="4F81BD"/>
              <w:left w:val="single" w:sz="8" w:space="0" w:color="BBC0C3"/>
              <w:bottom w:val="single" w:sz="8" w:space="0" w:color="BBC0C3"/>
              <w:right w:val="single" w:sz="4" w:space="0" w:color="4F81BD"/>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Craig Sawyer</w:t>
            </w:r>
          </w:p>
        </w:tc>
      </w:tr>
      <w:tr w:rsidR="004A7609" w:rsidRPr="004A7609" w:rsidTr="004A7609">
        <w:trPr>
          <w:trHeight w:val="288"/>
        </w:trPr>
        <w:tc>
          <w:tcPr>
            <w:tcW w:w="780" w:type="dxa"/>
            <w:tcBorders>
              <w:top w:val="single" w:sz="4" w:space="0" w:color="4F81BD"/>
              <w:left w:val="single" w:sz="8" w:space="0" w:color="C4C6C8"/>
              <w:bottom w:val="single" w:sz="4" w:space="0" w:color="4F81BD"/>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1975</w:t>
            </w:r>
          </w:p>
        </w:tc>
        <w:tc>
          <w:tcPr>
            <w:tcW w:w="1134" w:type="dxa"/>
            <w:tcBorders>
              <w:top w:val="single" w:sz="4" w:space="0" w:color="4F81BD"/>
              <w:left w:val="single" w:sz="8" w:space="0" w:color="BBC0C3"/>
              <w:bottom w:val="single" w:sz="4" w:space="0" w:color="4F81BD"/>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R12 Cleanroom</w:t>
            </w:r>
          </w:p>
        </w:tc>
        <w:tc>
          <w:tcPr>
            <w:tcW w:w="1134" w:type="dxa"/>
            <w:tcBorders>
              <w:top w:val="single" w:sz="4" w:space="0" w:color="4F81BD"/>
              <w:left w:val="single" w:sz="8" w:space="0" w:color="BBC0C3"/>
              <w:bottom w:val="single" w:sz="4" w:space="0" w:color="4F81BD"/>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Craig Sawyer</w:t>
            </w:r>
          </w:p>
        </w:tc>
        <w:tc>
          <w:tcPr>
            <w:tcW w:w="1842" w:type="dxa"/>
            <w:tcBorders>
              <w:top w:val="single" w:sz="4" w:space="0" w:color="4F81BD"/>
              <w:left w:val="single" w:sz="8" w:space="0" w:color="BBC0C3"/>
              <w:bottom w:val="single" w:sz="4" w:space="0" w:color="4F81BD"/>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Risk Assessment of ATLAS Module Assembly</w:t>
            </w:r>
          </w:p>
        </w:tc>
        <w:tc>
          <w:tcPr>
            <w:tcW w:w="1418" w:type="dxa"/>
            <w:tcBorders>
              <w:top w:val="single" w:sz="4" w:space="0" w:color="4F81BD"/>
              <w:left w:val="single" w:sz="8" w:space="0" w:color="BBC0C3"/>
              <w:bottom w:val="single" w:sz="4" w:space="0" w:color="4F81BD"/>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04/08/2017</w:t>
            </w:r>
          </w:p>
        </w:tc>
        <w:tc>
          <w:tcPr>
            <w:tcW w:w="1417" w:type="dxa"/>
            <w:tcBorders>
              <w:top w:val="single" w:sz="4" w:space="0" w:color="4F81BD"/>
              <w:left w:val="single" w:sz="8" w:space="0" w:color="BBC0C3"/>
              <w:bottom w:val="single" w:sz="4" w:space="0" w:color="4F81BD"/>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04/08/2019</w:t>
            </w:r>
          </w:p>
        </w:tc>
        <w:tc>
          <w:tcPr>
            <w:tcW w:w="1418" w:type="dxa"/>
            <w:tcBorders>
              <w:top w:val="single" w:sz="4" w:space="0" w:color="4F81BD"/>
              <w:left w:val="single" w:sz="8" w:space="0" w:color="BBC0C3"/>
              <w:bottom w:val="single" w:sz="4" w:space="0" w:color="4F81BD"/>
              <w:right w:val="nil"/>
            </w:tcBorders>
            <w:shd w:val="clear" w:color="auto" w:fill="FFC7CE"/>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04/08/2019</w:t>
            </w:r>
          </w:p>
        </w:tc>
        <w:tc>
          <w:tcPr>
            <w:tcW w:w="992" w:type="dxa"/>
            <w:tcBorders>
              <w:top w:val="single" w:sz="4" w:space="0" w:color="4F81BD"/>
              <w:left w:val="single" w:sz="8" w:space="0" w:color="BBC0C3"/>
              <w:bottom w:val="single" w:sz="4" w:space="0" w:color="4F81BD"/>
              <w:right w:val="nil"/>
            </w:tcBorders>
            <w:shd w:val="clear" w:color="auto" w:fill="FFC7CE"/>
            <w:noWrap/>
            <w:hideMark/>
          </w:tcPr>
          <w:p w:rsidR="004A7609" w:rsidRPr="00844DF6" w:rsidRDefault="004A7609" w:rsidP="004A7609">
            <w:pPr>
              <w:rPr>
                <w:rFonts w:ascii="Calibri" w:hAnsi="Calibri" w:cs="Calibri"/>
                <w:color w:val="9C0006"/>
                <w:sz w:val="20"/>
                <w:szCs w:val="20"/>
              </w:rPr>
            </w:pPr>
            <w:r w:rsidRPr="00844DF6">
              <w:rPr>
                <w:rFonts w:ascii="Calibri" w:hAnsi="Calibri" w:cs="Calibri"/>
                <w:color w:val="9C0006"/>
                <w:sz w:val="20"/>
                <w:szCs w:val="20"/>
              </w:rPr>
              <w:t>Overdue</w:t>
            </w:r>
          </w:p>
        </w:tc>
        <w:tc>
          <w:tcPr>
            <w:tcW w:w="1276" w:type="dxa"/>
            <w:tcBorders>
              <w:top w:val="single" w:sz="4" w:space="0" w:color="4F81BD"/>
              <w:left w:val="single" w:sz="8" w:space="0" w:color="BBC0C3"/>
              <w:bottom w:val="single" w:sz="4" w:space="0" w:color="4F81BD"/>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14/04/2015</w:t>
            </w:r>
          </w:p>
        </w:tc>
        <w:tc>
          <w:tcPr>
            <w:tcW w:w="1276" w:type="dxa"/>
            <w:tcBorders>
              <w:top w:val="single" w:sz="4" w:space="0" w:color="4F81BD"/>
              <w:left w:val="single" w:sz="8" w:space="0" w:color="BBC0C3"/>
              <w:bottom w:val="single" w:sz="4" w:space="0" w:color="4F81BD"/>
              <w:right w:val="nil"/>
            </w:tcBorders>
            <w:shd w:val="clear" w:color="auto" w:fill="auto"/>
            <w:noWrap/>
            <w:hideMark/>
          </w:tcPr>
          <w:p w:rsidR="004A7609" w:rsidRPr="00844DF6" w:rsidRDefault="004A7609" w:rsidP="004A7609">
            <w:pPr>
              <w:rPr>
                <w:rFonts w:ascii="Calibri" w:hAnsi="Calibri" w:cs="Calibri"/>
                <w:color w:val="000000"/>
                <w:sz w:val="20"/>
                <w:szCs w:val="20"/>
              </w:rPr>
            </w:pPr>
            <w:r w:rsidRPr="00844DF6">
              <w:rPr>
                <w:rFonts w:ascii="Calibri" w:hAnsi="Calibri" w:cs="Calibri"/>
                <w:color w:val="000000"/>
                <w:sz w:val="20"/>
                <w:szCs w:val="20"/>
              </w:rPr>
              <w:t>09/03/2020</w:t>
            </w:r>
          </w:p>
        </w:tc>
        <w:tc>
          <w:tcPr>
            <w:tcW w:w="1134" w:type="dxa"/>
            <w:tcBorders>
              <w:top w:val="single" w:sz="4" w:space="0" w:color="4F81BD"/>
              <w:left w:val="single" w:sz="8" w:space="0" w:color="BBC0C3"/>
              <w:bottom w:val="single" w:sz="4" w:space="0" w:color="4F81BD"/>
              <w:right w:val="single" w:sz="4" w:space="0" w:color="4F81BD"/>
            </w:tcBorders>
            <w:shd w:val="clear" w:color="auto" w:fill="auto"/>
            <w:noWrap/>
            <w:hideMark/>
          </w:tcPr>
          <w:p w:rsidR="004A7609" w:rsidRPr="004A7609" w:rsidRDefault="004A7609" w:rsidP="004A7609">
            <w:pPr>
              <w:rPr>
                <w:rFonts w:ascii="Calibri" w:hAnsi="Calibri" w:cs="Calibri"/>
                <w:color w:val="000000"/>
                <w:sz w:val="20"/>
                <w:szCs w:val="20"/>
              </w:rPr>
            </w:pPr>
            <w:r w:rsidRPr="00844DF6">
              <w:rPr>
                <w:rFonts w:ascii="Calibri" w:hAnsi="Calibri" w:cs="Calibri"/>
                <w:color w:val="000000"/>
                <w:sz w:val="20"/>
                <w:szCs w:val="20"/>
              </w:rPr>
              <w:t>Craig Sawyer</w:t>
            </w:r>
          </w:p>
        </w:tc>
      </w:tr>
    </w:tbl>
    <w:p w:rsidR="004A7609" w:rsidRDefault="004A7609" w:rsidP="007916C1">
      <w:pPr>
        <w:rPr>
          <w:b/>
          <w:color w:val="FF0000"/>
          <w:sz w:val="20"/>
          <w:szCs w:val="20"/>
          <w:u w:val="single"/>
        </w:rPr>
      </w:pPr>
    </w:p>
    <w:p w:rsidR="00847069" w:rsidRPr="007916C1" w:rsidRDefault="00847069" w:rsidP="007916C1">
      <w:pPr>
        <w:rPr>
          <w:b/>
          <w:color w:val="FF0000"/>
          <w:sz w:val="20"/>
          <w:szCs w:val="20"/>
          <w:u w:val="single"/>
        </w:rPr>
      </w:pPr>
    </w:p>
    <w:sectPr w:rsidR="00847069" w:rsidRPr="007916C1" w:rsidSect="004A7609">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65E" w:rsidRDefault="0059565E">
      <w:r>
        <w:separator/>
      </w:r>
    </w:p>
  </w:endnote>
  <w:endnote w:type="continuationSeparator" w:id="0">
    <w:p w:rsidR="0059565E" w:rsidRDefault="0059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E0" w:rsidRDefault="004F1AE0" w:rsidP="00F01DE8">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4F1AE0" w:rsidRDefault="004F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E0" w:rsidRPr="000A6038" w:rsidRDefault="00E67D11" w:rsidP="00403B8E">
    <w:pPr>
      <w:pStyle w:val="Footer"/>
      <w:jc w:val="right"/>
      <w:rPr>
        <w:sz w:val="16"/>
        <w:szCs w:val="16"/>
      </w:rPr>
    </w:pPr>
    <w:r>
      <w:rPr>
        <w:sz w:val="16"/>
        <w:szCs w:val="16"/>
      </w:rPr>
      <w:t>July</w:t>
    </w:r>
    <w:r w:rsidR="004F1AE0">
      <w:rPr>
        <w:sz w:val="16"/>
        <w:szCs w:val="16"/>
      </w:rPr>
      <w:t xml:space="preserve"> 2020 to </w:t>
    </w:r>
    <w:r>
      <w:rPr>
        <w:sz w:val="16"/>
        <w:szCs w:val="16"/>
      </w:rPr>
      <w:t>September</w:t>
    </w:r>
    <w:r w:rsidR="004F1AE0">
      <w:rPr>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65E" w:rsidRDefault="0059565E">
      <w:r>
        <w:separator/>
      </w:r>
    </w:p>
  </w:footnote>
  <w:footnote w:type="continuationSeparator" w:id="0">
    <w:p w:rsidR="0059565E" w:rsidRDefault="00595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F38"/>
    <w:multiLevelType w:val="hybridMultilevel"/>
    <w:tmpl w:val="1FAC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7A03"/>
    <w:multiLevelType w:val="hybridMultilevel"/>
    <w:tmpl w:val="126AC3B0"/>
    <w:lvl w:ilvl="0" w:tplc="F282048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71D8B"/>
    <w:multiLevelType w:val="hybridMultilevel"/>
    <w:tmpl w:val="4C74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2343A"/>
    <w:multiLevelType w:val="hybridMultilevel"/>
    <w:tmpl w:val="957C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42B49"/>
    <w:multiLevelType w:val="hybridMultilevel"/>
    <w:tmpl w:val="525631F2"/>
    <w:lvl w:ilvl="0" w:tplc="F1AE2494">
      <w:start w:val="1"/>
      <w:numFmt w:val="lowerLetter"/>
      <w:pStyle w:val="ListNumb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1A868E4"/>
    <w:multiLevelType w:val="hybridMultilevel"/>
    <w:tmpl w:val="8CCE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C42A9"/>
    <w:multiLevelType w:val="hybridMultilevel"/>
    <w:tmpl w:val="3D80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6677C"/>
    <w:multiLevelType w:val="hybridMultilevel"/>
    <w:tmpl w:val="9034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87884"/>
    <w:multiLevelType w:val="hybridMultilevel"/>
    <w:tmpl w:val="9C7846A2"/>
    <w:lvl w:ilvl="0" w:tplc="0409000F">
      <w:start w:val="1"/>
      <w:numFmt w:val="decimal"/>
      <w:lvlText w:val="%1."/>
      <w:lvlJc w:val="left"/>
      <w:pPr>
        <w:tabs>
          <w:tab w:val="num" w:pos="720"/>
        </w:tabs>
        <w:ind w:left="720" w:hanging="360"/>
      </w:pPr>
      <w:rPr>
        <w:rFonts w:cs="Times New Roman"/>
      </w:rPr>
    </w:lvl>
    <w:lvl w:ilvl="1" w:tplc="CDF2567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E6F41EA"/>
    <w:multiLevelType w:val="hybridMultilevel"/>
    <w:tmpl w:val="2FAE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7"/>
  </w:num>
  <w:num w:numId="5">
    <w:abstractNumId w:val="9"/>
  </w:num>
  <w:num w:numId="6">
    <w:abstractNumId w:val="6"/>
  </w:num>
  <w:num w:numId="7">
    <w:abstractNumId w:val="5"/>
  </w:num>
  <w:num w:numId="8">
    <w:abstractNumId w:val="0"/>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9E"/>
    <w:rsid w:val="0000081E"/>
    <w:rsid w:val="00000A77"/>
    <w:rsid w:val="000010E4"/>
    <w:rsid w:val="00001816"/>
    <w:rsid w:val="00001A5F"/>
    <w:rsid w:val="000038B8"/>
    <w:rsid w:val="00004175"/>
    <w:rsid w:val="00004607"/>
    <w:rsid w:val="00005311"/>
    <w:rsid w:val="00006626"/>
    <w:rsid w:val="00007DC4"/>
    <w:rsid w:val="00010C5B"/>
    <w:rsid w:val="00011A29"/>
    <w:rsid w:val="00012A5F"/>
    <w:rsid w:val="00012E05"/>
    <w:rsid w:val="00013886"/>
    <w:rsid w:val="00013CA7"/>
    <w:rsid w:val="0001471E"/>
    <w:rsid w:val="00015B4F"/>
    <w:rsid w:val="00016E89"/>
    <w:rsid w:val="00017D1B"/>
    <w:rsid w:val="0002275E"/>
    <w:rsid w:val="000229D1"/>
    <w:rsid w:val="00022A96"/>
    <w:rsid w:val="0002351C"/>
    <w:rsid w:val="000252E2"/>
    <w:rsid w:val="0002590F"/>
    <w:rsid w:val="0002597B"/>
    <w:rsid w:val="00026D77"/>
    <w:rsid w:val="00031CB5"/>
    <w:rsid w:val="00032E7B"/>
    <w:rsid w:val="00035826"/>
    <w:rsid w:val="00036579"/>
    <w:rsid w:val="000406DF"/>
    <w:rsid w:val="000407DF"/>
    <w:rsid w:val="00040C09"/>
    <w:rsid w:val="000410AA"/>
    <w:rsid w:val="0004220E"/>
    <w:rsid w:val="00043CC4"/>
    <w:rsid w:val="00045728"/>
    <w:rsid w:val="00045821"/>
    <w:rsid w:val="00047A18"/>
    <w:rsid w:val="0005159E"/>
    <w:rsid w:val="000516CE"/>
    <w:rsid w:val="00051BDC"/>
    <w:rsid w:val="000529E0"/>
    <w:rsid w:val="00052D26"/>
    <w:rsid w:val="000531B8"/>
    <w:rsid w:val="00054C33"/>
    <w:rsid w:val="00055FA5"/>
    <w:rsid w:val="000604B0"/>
    <w:rsid w:val="000626C0"/>
    <w:rsid w:val="000629BB"/>
    <w:rsid w:val="00062BCD"/>
    <w:rsid w:val="000638F7"/>
    <w:rsid w:val="00064023"/>
    <w:rsid w:val="00065C71"/>
    <w:rsid w:val="00070759"/>
    <w:rsid w:val="00070D0B"/>
    <w:rsid w:val="0007144F"/>
    <w:rsid w:val="00071930"/>
    <w:rsid w:val="000727BB"/>
    <w:rsid w:val="00072B6C"/>
    <w:rsid w:val="0007678D"/>
    <w:rsid w:val="00076899"/>
    <w:rsid w:val="00077349"/>
    <w:rsid w:val="00077492"/>
    <w:rsid w:val="00081022"/>
    <w:rsid w:val="00083C8F"/>
    <w:rsid w:val="00084882"/>
    <w:rsid w:val="00084B8F"/>
    <w:rsid w:val="00087B84"/>
    <w:rsid w:val="000933B2"/>
    <w:rsid w:val="000935A0"/>
    <w:rsid w:val="0009384D"/>
    <w:rsid w:val="00093BFA"/>
    <w:rsid w:val="00093D37"/>
    <w:rsid w:val="00095878"/>
    <w:rsid w:val="00097BD8"/>
    <w:rsid w:val="000A0296"/>
    <w:rsid w:val="000A0E00"/>
    <w:rsid w:val="000A25D3"/>
    <w:rsid w:val="000A6038"/>
    <w:rsid w:val="000A65A8"/>
    <w:rsid w:val="000A6DF4"/>
    <w:rsid w:val="000B0A98"/>
    <w:rsid w:val="000B1305"/>
    <w:rsid w:val="000B1EB2"/>
    <w:rsid w:val="000B3A2D"/>
    <w:rsid w:val="000B4137"/>
    <w:rsid w:val="000B6591"/>
    <w:rsid w:val="000B689B"/>
    <w:rsid w:val="000B6ACE"/>
    <w:rsid w:val="000B6FFB"/>
    <w:rsid w:val="000B70B4"/>
    <w:rsid w:val="000B772B"/>
    <w:rsid w:val="000B77B2"/>
    <w:rsid w:val="000B7C03"/>
    <w:rsid w:val="000C1137"/>
    <w:rsid w:val="000C51E1"/>
    <w:rsid w:val="000C6D34"/>
    <w:rsid w:val="000C7F67"/>
    <w:rsid w:val="000D092F"/>
    <w:rsid w:val="000D1D59"/>
    <w:rsid w:val="000D21D6"/>
    <w:rsid w:val="000D30D6"/>
    <w:rsid w:val="000D31A4"/>
    <w:rsid w:val="000D44D8"/>
    <w:rsid w:val="000D4BE9"/>
    <w:rsid w:val="000D6BA7"/>
    <w:rsid w:val="000E114E"/>
    <w:rsid w:val="000E1234"/>
    <w:rsid w:val="000E22D1"/>
    <w:rsid w:val="000E5AAE"/>
    <w:rsid w:val="000E6792"/>
    <w:rsid w:val="000E6DDD"/>
    <w:rsid w:val="000E754F"/>
    <w:rsid w:val="000F0AA6"/>
    <w:rsid w:val="000F2758"/>
    <w:rsid w:val="000F3772"/>
    <w:rsid w:val="000F553C"/>
    <w:rsid w:val="000F6F36"/>
    <w:rsid w:val="00101BB2"/>
    <w:rsid w:val="00105755"/>
    <w:rsid w:val="00106518"/>
    <w:rsid w:val="00111F8E"/>
    <w:rsid w:val="00120520"/>
    <w:rsid w:val="0012436C"/>
    <w:rsid w:val="001245F1"/>
    <w:rsid w:val="00124B36"/>
    <w:rsid w:val="001269EF"/>
    <w:rsid w:val="00126D5C"/>
    <w:rsid w:val="00127AA1"/>
    <w:rsid w:val="00130FBE"/>
    <w:rsid w:val="00131302"/>
    <w:rsid w:val="001314B0"/>
    <w:rsid w:val="001349EA"/>
    <w:rsid w:val="0013674E"/>
    <w:rsid w:val="00140E9B"/>
    <w:rsid w:val="00141021"/>
    <w:rsid w:val="001415EE"/>
    <w:rsid w:val="001426C2"/>
    <w:rsid w:val="00143BC5"/>
    <w:rsid w:val="0014415A"/>
    <w:rsid w:val="0014508C"/>
    <w:rsid w:val="00150B90"/>
    <w:rsid w:val="00151131"/>
    <w:rsid w:val="00151659"/>
    <w:rsid w:val="00151CC9"/>
    <w:rsid w:val="00153229"/>
    <w:rsid w:val="001552CC"/>
    <w:rsid w:val="001553E4"/>
    <w:rsid w:val="001566EF"/>
    <w:rsid w:val="00157495"/>
    <w:rsid w:val="001578D7"/>
    <w:rsid w:val="00157A2C"/>
    <w:rsid w:val="00157C36"/>
    <w:rsid w:val="00160207"/>
    <w:rsid w:val="00162719"/>
    <w:rsid w:val="00162886"/>
    <w:rsid w:val="00162E75"/>
    <w:rsid w:val="00163153"/>
    <w:rsid w:val="00163DDC"/>
    <w:rsid w:val="00166AD0"/>
    <w:rsid w:val="001675C3"/>
    <w:rsid w:val="00171E6A"/>
    <w:rsid w:val="001737FB"/>
    <w:rsid w:val="00173E18"/>
    <w:rsid w:val="00175939"/>
    <w:rsid w:val="00176E50"/>
    <w:rsid w:val="00177960"/>
    <w:rsid w:val="00177FC6"/>
    <w:rsid w:val="00181A4E"/>
    <w:rsid w:val="00181BB2"/>
    <w:rsid w:val="001829E4"/>
    <w:rsid w:val="00182AFD"/>
    <w:rsid w:val="00182E84"/>
    <w:rsid w:val="0018345A"/>
    <w:rsid w:val="00183737"/>
    <w:rsid w:val="001842ED"/>
    <w:rsid w:val="00184F99"/>
    <w:rsid w:val="00185FFD"/>
    <w:rsid w:val="00186BCC"/>
    <w:rsid w:val="00186FE2"/>
    <w:rsid w:val="001877E9"/>
    <w:rsid w:val="00190C98"/>
    <w:rsid w:val="001912DC"/>
    <w:rsid w:val="001926CD"/>
    <w:rsid w:val="0019579B"/>
    <w:rsid w:val="00195F71"/>
    <w:rsid w:val="0019690E"/>
    <w:rsid w:val="001A23E2"/>
    <w:rsid w:val="001A35D5"/>
    <w:rsid w:val="001A3CB3"/>
    <w:rsid w:val="001A466A"/>
    <w:rsid w:val="001A68EE"/>
    <w:rsid w:val="001A770C"/>
    <w:rsid w:val="001A7DFD"/>
    <w:rsid w:val="001B3951"/>
    <w:rsid w:val="001B5918"/>
    <w:rsid w:val="001B5F23"/>
    <w:rsid w:val="001B67FE"/>
    <w:rsid w:val="001B6A3E"/>
    <w:rsid w:val="001B6CFC"/>
    <w:rsid w:val="001C1E1F"/>
    <w:rsid w:val="001C230B"/>
    <w:rsid w:val="001C257F"/>
    <w:rsid w:val="001C2F39"/>
    <w:rsid w:val="001C33CE"/>
    <w:rsid w:val="001C44DE"/>
    <w:rsid w:val="001C6C09"/>
    <w:rsid w:val="001C791C"/>
    <w:rsid w:val="001D2388"/>
    <w:rsid w:val="001D3BCE"/>
    <w:rsid w:val="001D4727"/>
    <w:rsid w:val="001D5D1B"/>
    <w:rsid w:val="001D5F4C"/>
    <w:rsid w:val="001E0168"/>
    <w:rsid w:val="001E0236"/>
    <w:rsid w:val="001E1D27"/>
    <w:rsid w:val="001E26A6"/>
    <w:rsid w:val="001E273D"/>
    <w:rsid w:val="001E634F"/>
    <w:rsid w:val="001E6716"/>
    <w:rsid w:val="001F0039"/>
    <w:rsid w:val="001F0901"/>
    <w:rsid w:val="001F1516"/>
    <w:rsid w:val="001F1B55"/>
    <w:rsid w:val="001F2524"/>
    <w:rsid w:val="001F2922"/>
    <w:rsid w:val="001F3107"/>
    <w:rsid w:val="001F5511"/>
    <w:rsid w:val="001F5E50"/>
    <w:rsid w:val="002024F5"/>
    <w:rsid w:val="00203159"/>
    <w:rsid w:val="00203645"/>
    <w:rsid w:val="0020365F"/>
    <w:rsid w:val="00203AE1"/>
    <w:rsid w:val="00203B27"/>
    <w:rsid w:val="00203BD0"/>
    <w:rsid w:val="002040E0"/>
    <w:rsid w:val="00206EB3"/>
    <w:rsid w:val="002073D7"/>
    <w:rsid w:val="00207463"/>
    <w:rsid w:val="00207634"/>
    <w:rsid w:val="00211055"/>
    <w:rsid w:val="00212114"/>
    <w:rsid w:val="00214063"/>
    <w:rsid w:val="002143E4"/>
    <w:rsid w:val="00215735"/>
    <w:rsid w:val="002166B8"/>
    <w:rsid w:val="00216E04"/>
    <w:rsid w:val="00217421"/>
    <w:rsid w:val="00217A1C"/>
    <w:rsid w:val="00220F24"/>
    <w:rsid w:val="00225D57"/>
    <w:rsid w:val="0022611B"/>
    <w:rsid w:val="00227B58"/>
    <w:rsid w:val="00231321"/>
    <w:rsid w:val="002323A5"/>
    <w:rsid w:val="00233F2E"/>
    <w:rsid w:val="0023516B"/>
    <w:rsid w:val="00237193"/>
    <w:rsid w:val="00237521"/>
    <w:rsid w:val="0023780D"/>
    <w:rsid w:val="002417B0"/>
    <w:rsid w:val="0024368F"/>
    <w:rsid w:val="00245E54"/>
    <w:rsid w:val="002463F0"/>
    <w:rsid w:val="0025197F"/>
    <w:rsid w:val="002520A1"/>
    <w:rsid w:val="00256576"/>
    <w:rsid w:val="002609BD"/>
    <w:rsid w:val="002621E2"/>
    <w:rsid w:val="002642BA"/>
    <w:rsid w:val="00264473"/>
    <w:rsid w:val="00264946"/>
    <w:rsid w:val="00264FE8"/>
    <w:rsid w:val="002654AB"/>
    <w:rsid w:val="00265AE6"/>
    <w:rsid w:val="00265C91"/>
    <w:rsid w:val="002672BF"/>
    <w:rsid w:val="0027354E"/>
    <w:rsid w:val="00275276"/>
    <w:rsid w:val="0027639C"/>
    <w:rsid w:val="002766EE"/>
    <w:rsid w:val="00277A60"/>
    <w:rsid w:val="00280056"/>
    <w:rsid w:val="0028049A"/>
    <w:rsid w:val="00280F80"/>
    <w:rsid w:val="00280F9A"/>
    <w:rsid w:val="00281755"/>
    <w:rsid w:val="00282664"/>
    <w:rsid w:val="0028362D"/>
    <w:rsid w:val="00283A91"/>
    <w:rsid w:val="00285432"/>
    <w:rsid w:val="00287563"/>
    <w:rsid w:val="00287A7C"/>
    <w:rsid w:val="00290CE9"/>
    <w:rsid w:val="00290D74"/>
    <w:rsid w:val="002916AE"/>
    <w:rsid w:val="00293A95"/>
    <w:rsid w:val="0029466E"/>
    <w:rsid w:val="00294BCC"/>
    <w:rsid w:val="00295865"/>
    <w:rsid w:val="00295A4F"/>
    <w:rsid w:val="00295B88"/>
    <w:rsid w:val="00295C08"/>
    <w:rsid w:val="002971EC"/>
    <w:rsid w:val="00297848"/>
    <w:rsid w:val="002A3B38"/>
    <w:rsid w:val="002A4023"/>
    <w:rsid w:val="002A4F2E"/>
    <w:rsid w:val="002A4FAB"/>
    <w:rsid w:val="002A5300"/>
    <w:rsid w:val="002A556B"/>
    <w:rsid w:val="002A7270"/>
    <w:rsid w:val="002A7FDF"/>
    <w:rsid w:val="002B17E6"/>
    <w:rsid w:val="002B296F"/>
    <w:rsid w:val="002B2B46"/>
    <w:rsid w:val="002B2D07"/>
    <w:rsid w:val="002B3DF8"/>
    <w:rsid w:val="002B6C18"/>
    <w:rsid w:val="002C1C8B"/>
    <w:rsid w:val="002C2A18"/>
    <w:rsid w:val="002C36DF"/>
    <w:rsid w:val="002C46A9"/>
    <w:rsid w:val="002C6CFD"/>
    <w:rsid w:val="002C788F"/>
    <w:rsid w:val="002C7CFD"/>
    <w:rsid w:val="002D0701"/>
    <w:rsid w:val="002D075E"/>
    <w:rsid w:val="002D18C8"/>
    <w:rsid w:val="002D28FA"/>
    <w:rsid w:val="002D447D"/>
    <w:rsid w:val="002D47D3"/>
    <w:rsid w:val="002D4DB9"/>
    <w:rsid w:val="002D53BA"/>
    <w:rsid w:val="002D5999"/>
    <w:rsid w:val="002D5FFB"/>
    <w:rsid w:val="002D7621"/>
    <w:rsid w:val="002D7C5A"/>
    <w:rsid w:val="002D7E0C"/>
    <w:rsid w:val="002E012E"/>
    <w:rsid w:val="002E0FB2"/>
    <w:rsid w:val="002E1F9F"/>
    <w:rsid w:val="002E271B"/>
    <w:rsid w:val="002E2DA8"/>
    <w:rsid w:val="002E3664"/>
    <w:rsid w:val="002E3D97"/>
    <w:rsid w:val="002E3F67"/>
    <w:rsid w:val="002E41BC"/>
    <w:rsid w:val="002E59A9"/>
    <w:rsid w:val="002E65C8"/>
    <w:rsid w:val="002E6788"/>
    <w:rsid w:val="002E754F"/>
    <w:rsid w:val="002F1B27"/>
    <w:rsid w:val="002F2D7A"/>
    <w:rsid w:val="002F4239"/>
    <w:rsid w:val="002F5AAB"/>
    <w:rsid w:val="002F5D3B"/>
    <w:rsid w:val="002F5DFC"/>
    <w:rsid w:val="002F7D14"/>
    <w:rsid w:val="003007C8"/>
    <w:rsid w:val="00301809"/>
    <w:rsid w:val="0030193C"/>
    <w:rsid w:val="00301CDE"/>
    <w:rsid w:val="003029F2"/>
    <w:rsid w:val="00303359"/>
    <w:rsid w:val="00303B06"/>
    <w:rsid w:val="0030422F"/>
    <w:rsid w:val="003047B6"/>
    <w:rsid w:val="00306441"/>
    <w:rsid w:val="00306C41"/>
    <w:rsid w:val="003072EC"/>
    <w:rsid w:val="00310C49"/>
    <w:rsid w:val="00311689"/>
    <w:rsid w:val="00312796"/>
    <w:rsid w:val="0031300D"/>
    <w:rsid w:val="003135C0"/>
    <w:rsid w:val="00314F09"/>
    <w:rsid w:val="00316BF6"/>
    <w:rsid w:val="00317E6A"/>
    <w:rsid w:val="00320655"/>
    <w:rsid w:val="003217E4"/>
    <w:rsid w:val="00322A68"/>
    <w:rsid w:val="003232B7"/>
    <w:rsid w:val="003242E5"/>
    <w:rsid w:val="0032576C"/>
    <w:rsid w:val="0032580F"/>
    <w:rsid w:val="00325C4F"/>
    <w:rsid w:val="00327326"/>
    <w:rsid w:val="003318A8"/>
    <w:rsid w:val="00331A51"/>
    <w:rsid w:val="00333927"/>
    <w:rsid w:val="0033678C"/>
    <w:rsid w:val="0033710B"/>
    <w:rsid w:val="00337744"/>
    <w:rsid w:val="00340A2E"/>
    <w:rsid w:val="00340DCE"/>
    <w:rsid w:val="00341C97"/>
    <w:rsid w:val="00341CBF"/>
    <w:rsid w:val="00342B03"/>
    <w:rsid w:val="00342E55"/>
    <w:rsid w:val="003439C3"/>
    <w:rsid w:val="00344CFA"/>
    <w:rsid w:val="003457F1"/>
    <w:rsid w:val="00345A20"/>
    <w:rsid w:val="00346962"/>
    <w:rsid w:val="00347692"/>
    <w:rsid w:val="00350066"/>
    <w:rsid w:val="0035019E"/>
    <w:rsid w:val="00351E3B"/>
    <w:rsid w:val="0035283C"/>
    <w:rsid w:val="00353123"/>
    <w:rsid w:val="0035347C"/>
    <w:rsid w:val="00354008"/>
    <w:rsid w:val="00354C0A"/>
    <w:rsid w:val="00360F17"/>
    <w:rsid w:val="00364F48"/>
    <w:rsid w:val="00365F7A"/>
    <w:rsid w:val="003668F2"/>
    <w:rsid w:val="00366AFA"/>
    <w:rsid w:val="003670E9"/>
    <w:rsid w:val="003673B2"/>
    <w:rsid w:val="00370B8F"/>
    <w:rsid w:val="00372EBB"/>
    <w:rsid w:val="00373065"/>
    <w:rsid w:val="00373BD0"/>
    <w:rsid w:val="00374AF3"/>
    <w:rsid w:val="00374EA3"/>
    <w:rsid w:val="003752E5"/>
    <w:rsid w:val="00375C5E"/>
    <w:rsid w:val="00376105"/>
    <w:rsid w:val="0037677D"/>
    <w:rsid w:val="00376DCE"/>
    <w:rsid w:val="003776EF"/>
    <w:rsid w:val="00377C45"/>
    <w:rsid w:val="00377C94"/>
    <w:rsid w:val="00380743"/>
    <w:rsid w:val="00382744"/>
    <w:rsid w:val="00383851"/>
    <w:rsid w:val="00383E9B"/>
    <w:rsid w:val="00386197"/>
    <w:rsid w:val="003877DF"/>
    <w:rsid w:val="00387EA3"/>
    <w:rsid w:val="00390FC4"/>
    <w:rsid w:val="003960AF"/>
    <w:rsid w:val="003A0B94"/>
    <w:rsid w:val="003A1E07"/>
    <w:rsid w:val="003A2D3B"/>
    <w:rsid w:val="003A33E3"/>
    <w:rsid w:val="003A3644"/>
    <w:rsid w:val="003A3ED4"/>
    <w:rsid w:val="003A592E"/>
    <w:rsid w:val="003A5C1A"/>
    <w:rsid w:val="003A6A7A"/>
    <w:rsid w:val="003A6C76"/>
    <w:rsid w:val="003A72F6"/>
    <w:rsid w:val="003B0195"/>
    <w:rsid w:val="003B1375"/>
    <w:rsid w:val="003B1857"/>
    <w:rsid w:val="003B1BB3"/>
    <w:rsid w:val="003B307D"/>
    <w:rsid w:val="003B30D6"/>
    <w:rsid w:val="003B388B"/>
    <w:rsid w:val="003B3CB7"/>
    <w:rsid w:val="003B4804"/>
    <w:rsid w:val="003B543C"/>
    <w:rsid w:val="003B5962"/>
    <w:rsid w:val="003B6736"/>
    <w:rsid w:val="003C0767"/>
    <w:rsid w:val="003C25F6"/>
    <w:rsid w:val="003C40E6"/>
    <w:rsid w:val="003C5170"/>
    <w:rsid w:val="003C5AFD"/>
    <w:rsid w:val="003C6AA3"/>
    <w:rsid w:val="003D148B"/>
    <w:rsid w:val="003D1E60"/>
    <w:rsid w:val="003D2292"/>
    <w:rsid w:val="003D42A9"/>
    <w:rsid w:val="003D6599"/>
    <w:rsid w:val="003E2FBF"/>
    <w:rsid w:val="003E3E06"/>
    <w:rsid w:val="003E4EBC"/>
    <w:rsid w:val="003E6AE6"/>
    <w:rsid w:val="003E7BC6"/>
    <w:rsid w:val="003F1C11"/>
    <w:rsid w:val="003F540C"/>
    <w:rsid w:val="003F6E70"/>
    <w:rsid w:val="0040037C"/>
    <w:rsid w:val="004007C5"/>
    <w:rsid w:val="00401241"/>
    <w:rsid w:val="004025B4"/>
    <w:rsid w:val="004026F0"/>
    <w:rsid w:val="00403B8E"/>
    <w:rsid w:val="00403F35"/>
    <w:rsid w:val="004047F2"/>
    <w:rsid w:val="0040742B"/>
    <w:rsid w:val="00407501"/>
    <w:rsid w:val="004075A0"/>
    <w:rsid w:val="004112FF"/>
    <w:rsid w:val="00411941"/>
    <w:rsid w:val="004127F3"/>
    <w:rsid w:val="00412C25"/>
    <w:rsid w:val="00413653"/>
    <w:rsid w:val="004140D3"/>
    <w:rsid w:val="00414CD8"/>
    <w:rsid w:val="00416A2F"/>
    <w:rsid w:val="004170C6"/>
    <w:rsid w:val="00420156"/>
    <w:rsid w:val="004206AB"/>
    <w:rsid w:val="0042099A"/>
    <w:rsid w:val="004209CE"/>
    <w:rsid w:val="004218D4"/>
    <w:rsid w:val="004228CE"/>
    <w:rsid w:val="00423BF6"/>
    <w:rsid w:val="004244E7"/>
    <w:rsid w:val="0042496D"/>
    <w:rsid w:val="00425CB2"/>
    <w:rsid w:val="00426E5E"/>
    <w:rsid w:val="00427F68"/>
    <w:rsid w:val="0043050D"/>
    <w:rsid w:val="00431A3A"/>
    <w:rsid w:val="00431DD9"/>
    <w:rsid w:val="00431E37"/>
    <w:rsid w:val="0043427B"/>
    <w:rsid w:val="004343AB"/>
    <w:rsid w:val="00435592"/>
    <w:rsid w:val="004363FC"/>
    <w:rsid w:val="004377B8"/>
    <w:rsid w:val="00437EF6"/>
    <w:rsid w:val="004407D3"/>
    <w:rsid w:val="00441C04"/>
    <w:rsid w:val="004427F3"/>
    <w:rsid w:val="004430DB"/>
    <w:rsid w:val="00443D41"/>
    <w:rsid w:val="00446882"/>
    <w:rsid w:val="00446C1B"/>
    <w:rsid w:val="00450309"/>
    <w:rsid w:val="00450B5D"/>
    <w:rsid w:val="00451C1B"/>
    <w:rsid w:val="0045259C"/>
    <w:rsid w:val="00452C07"/>
    <w:rsid w:val="00456415"/>
    <w:rsid w:val="00456A5D"/>
    <w:rsid w:val="00456F6B"/>
    <w:rsid w:val="004613F0"/>
    <w:rsid w:val="00461B54"/>
    <w:rsid w:val="004621C0"/>
    <w:rsid w:val="00462A85"/>
    <w:rsid w:val="004630D4"/>
    <w:rsid w:val="00464F2D"/>
    <w:rsid w:val="00465BA2"/>
    <w:rsid w:val="00465BCE"/>
    <w:rsid w:val="00465C0E"/>
    <w:rsid w:val="00466A0A"/>
    <w:rsid w:val="00467CA8"/>
    <w:rsid w:val="004700A4"/>
    <w:rsid w:val="00472A3E"/>
    <w:rsid w:val="0047302E"/>
    <w:rsid w:val="004731F7"/>
    <w:rsid w:val="0047467B"/>
    <w:rsid w:val="00474B1D"/>
    <w:rsid w:val="004754A0"/>
    <w:rsid w:val="004762E7"/>
    <w:rsid w:val="0047743E"/>
    <w:rsid w:val="004809DD"/>
    <w:rsid w:val="00481C47"/>
    <w:rsid w:val="00481D31"/>
    <w:rsid w:val="004823FE"/>
    <w:rsid w:val="00485854"/>
    <w:rsid w:val="00487EE6"/>
    <w:rsid w:val="00493FAB"/>
    <w:rsid w:val="00495E60"/>
    <w:rsid w:val="0049736A"/>
    <w:rsid w:val="004A053D"/>
    <w:rsid w:val="004A2676"/>
    <w:rsid w:val="004A39D5"/>
    <w:rsid w:val="004A4418"/>
    <w:rsid w:val="004A7609"/>
    <w:rsid w:val="004A7696"/>
    <w:rsid w:val="004B0300"/>
    <w:rsid w:val="004B2B29"/>
    <w:rsid w:val="004B4512"/>
    <w:rsid w:val="004B4A97"/>
    <w:rsid w:val="004B60A0"/>
    <w:rsid w:val="004C191F"/>
    <w:rsid w:val="004C2081"/>
    <w:rsid w:val="004C2785"/>
    <w:rsid w:val="004C2DC1"/>
    <w:rsid w:val="004C322B"/>
    <w:rsid w:val="004C3A88"/>
    <w:rsid w:val="004C3EC4"/>
    <w:rsid w:val="004C5380"/>
    <w:rsid w:val="004C58E1"/>
    <w:rsid w:val="004C5F5C"/>
    <w:rsid w:val="004C5FC1"/>
    <w:rsid w:val="004C693E"/>
    <w:rsid w:val="004D0283"/>
    <w:rsid w:val="004D05B3"/>
    <w:rsid w:val="004D0631"/>
    <w:rsid w:val="004D2AD9"/>
    <w:rsid w:val="004D4055"/>
    <w:rsid w:val="004D65F8"/>
    <w:rsid w:val="004D691D"/>
    <w:rsid w:val="004D6966"/>
    <w:rsid w:val="004D7ED9"/>
    <w:rsid w:val="004E142C"/>
    <w:rsid w:val="004E441C"/>
    <w:rsid w:val="004E56E6"/>
    <w:rsid w:val="004E5A79"/>
    <w:rsid w:val="004E5DC7"/>
    <w:rsid w:val="004E6409"/>
    <w:rsid w:val="004E66FC"/>
    <w:rsid w:val="004E7E40"/>
    <w:rsid w:val="004F052E"/>
    <w:rsid w:val="004F1AE0"/>
    <w:rsid w:val="004F36F3"/>
    <w:rsid w:val="004F38D0"/>
    <w:rsid w:val="004F462C"/>
    <w:rsid w:val="004F4B11"/>
    <w:rsid w:val="004F5976"/>
    <w:rsid w:val="004F7838"/>
    <w:rsid w:val="005013AD"/>
    <w:rsid w:val="005037CD"/>
    <w:rsid w:val="00505D9C"/>
    <w:rsid w:val="00506C1C"/>
    <w:rsid w:val="005109BB"/>
    <w:rsid w:val="00511A5A"/>
    <w:rsid w:val="00512C2F"/>
    <w:rsid w:val="00512CB9"/>
    <w:rsid w:val="0051396C"/>
    <w:rsid w:val="00513E9F"/>
    <w:rsid w:val="00516542"/>
    <w:rsid w:val="005165CF"/>
    <w:rsid w:val="00516A8D"/>
    <w:rsid w:val="005172A6"/>
    <w:rsid w:val="00520F24"/>
    <w:rsid w:val="005213DF"/>
    <w:rsid w:val="00521D55"/>
    <w:rsid w:val="00522B69"/>
    <w:rsid w:val="00522C42"/>
    <w:rsid w:val="00522F36"/>
    <w:rsid w:val="005261EB"/>
    <w:rsid w:val="00526E8F"/>
    <w:rsid w:val="00527663"/>
    <w:rsid w:val="00527D2D"/>
    <w:rsid w:val="00530645"/>
    <w:rsid w:val="00530ADF"/>
    <w:rsid w:val="005315B0"/>
    <w:rsid w:val="005316F0"/>
    <w:rsid w:val="00532620"/>
    <w:rsid w:val="005328A4"/>
    <w:rsid w:val="0053442A"/>
    <w:rsid w:val="005357DF"/>
    <w:rsid w:val="00535A1F"/>
    <w:rsid w:val="00536E7A"/>
    <w:rsid w:val="0053704E"/>
    <w:rsid w:val="005406E3"/>
    <w:rsid w:val="005431BE"/>
    <w:rsid w:val="00543E6D"/>
    <w:rsid w:val="005445B1"/>
    <w:rsid w:val="005446CA"/>
    <w:rsid w:val="005449C5"/>
    <w:rsid w:val="00545232"/>
    <w:rsid w:val="00546808"/>
    <w:rsid w:val="0054697F"/>
    <w:rsid w:val="00546DA4"/>
    <w:rsid w:val="00551178"/>
    <w:rsid w:val="00552C8E"/>
    <w:rsid w:val="0055378B"/>
    <w:rsid w:val="00553977"/>
    <w:rsid w:val="00556848"/>
    <w:rsid w:val="00557924"/>
    <w:rsid w:val="00560223"/>
    <w:rsid w:val="0056188A"/>
    <w:rsid w:val="00561890"/>
    <w:rsid w:val="005622D0"/>
    <w:rsid w:val="005651D0"/>
    <w:rsid w:val="0056559E"/>
    <w:rsid w:val="00566297"/>
    <w:rsid w:val="00567359"/>
    <w:rsid w:val="00567BF5"/>
    <w:rsid w:val="005722E4"/>
    <w:rsid w:val="00573818"/>
    <w:rsid w:val="00575B8A"/>
    <w:rsid w:val="00575C2C"/>
    <w:rsid w:val="00576863"/>
    <w:rsid w:val="005778A8"/>
    <w:rsid w:val="005801E2"/>
    <w:rsid w:val="00581D33"/>
    <w:rsid w:val="00583CB9"/>
    <w:rsid w:val="00585BAE"/>
    <w:rsid w:val="005869C9"/>
    <w:rsid w:val="00587070"/>
    <w:rsid w:val="0058708C"/>
    <w:rsid w:val="0058773E"/>
    <w:rsid w:val="00587F1F"/>
    <w:rsid w:val="00590A46"/>
    <w:rsid w:val="00590E1E"/>
    <w:rsid w:val="005927F5"/>
    <w:rsid w:val="0059376C"/>
    <w:rsid w:val="00593A52"/>
    <w:rsid w:val="00594DEB"/>
    <w:rsid w:val="0059565E"/>
    <w:rsid w:val="00595803"/>
    <w:rsid w:val="00595BEB"/>
    <w:rsid w:val="00595C63"/>
    <w:rsid w:val="00596453"/>
    <w:rsid w:val="005A2E31"/>
    <w:rsid w:val="005A348D"/>
    <w:rsid w:val="005A4597"/>
    <w:rsid w:val="005A79CE"/>
    <w:rsid w:val="005B0A48"/>
    <w:rsid w:val="005B1BF3"/>
    <w:rsid w:val="005B24F9"/>
    <w:rsid w:val="005B2BB0"/>
    <w:rsid w:val="005B2C11"/>
    <w:rsid w:val="005B40F1"/>
    <w:rsid w:val="005B6361"/>
    <w:rsid w:val="005C0D81"/>
    <w:rsid w:val="005C1068"/>
    <w:rsid w:val="005C13CA"/>
    <w:rsid w:val="005C204F"/>
    <w:rsid w:val="005C2BE0"/>
    <w:rsid w:val="005C7044"/>
    <w:rsid w:val="005D1BEC"/>
    <w:rsid w:val="005D34BB"/>
    <w:rsid w:val="005D4C6F"/>
    <w:rsid w:val="005D6075"/>
    <w:rsid w:val="005D780F"/>
    <w:rsid w:val="005D7A2E"/>
    <w:rsid w:val="005D7CDC"/>
    <w:rsid w:val="005D7F01"/>
    <w:rsid w:val="005E14BE"/>
    <w:rsid w:val="005E2151"/>
    <w:rsid w:val="005E3624"/>
    <w:rsid w:val="005E3FAF"/>
    <w:rsid w:val="005E5786"/>
    <w:rsid w:val="005E7634"/>
    <w:rsid w:val="005F023A"/>
    <w:rsid w:val="005F17CD"/>
    <w:rsid w:val="005F17D7"/>
    <w:rsid w:val="005F1F44"/>
    <w:rsid w:val="005F33D9"/>
    <w:rsid w:val="005F501D"/>
    <w:rsid w:val="005F56E5"/>
    <w:rsid w:val="005F6211"/>
    <w:rsid w:val="005F6276"/>
    <w:rsid w:val="005F79CF"/>
    <w:rsid w:val="00602AB3"/>
    <w:rsid w:val="006030FC"/>
    <w:rsid w:val="00603B59"/>
    <w:rsid w:val="00605E4A"/>
    <w:rsid w:val="00606003"/>
    <w:rsid w:val="006100B4"/>
    <w:rsid w:val="006124AA"/>
    <w:rsid w:val="00612B40"/>
    <w:rsid w:val="00612C3F"/>
    <w:rsid w:val="00613935"/>
    <w:rsid w:val="00613EEF"/>
    <w:rsid w:val="00614181"/>
    <w:rsid w:val="00614351"/>
    <w:rsid w:val="00614FE8"/>
    <w:rsid w:val="00615425"/>
    <w:rsid w:val="006156D1"/>
    <w:rsid w:val="0061618E"/>
    <w:rsid w:val="006164C2"/>
    <w:rsid w:val="00616749"/>
    <w:rsid w:val="00616E41"/>
    <w:rsid w:val="00620C7D"/>
    <w:rsid w:val="00620CFC"/>
    <w:rsid w:val="00622101"/>
    <w:rsid w:val="006229DF"/>
    <w:rsid w:val="00623CFB"/>
    <w:rsid w:val="00625889"/>
    <w:rsid w:val="00625ABC"/>
    <w:rsid w:val="00625F20"/>
    <w:rsid w:val="006265FE"/>
    <w:rsid w:val="00626648"/>
    <w:rsid w:val="0062720D"/>
    <w:rsid w:val="006277C2"/>
    <w:rsid w:val="00630025"/>
    <w:rsid w:val="00631CA6"/>
    <w:rsid w:val="006324EA"/>
    <w:rsid w:val="00634203"/>
    <w:rsid w:val="00634587"/>
    <w:rsid w:val="006349B5"/>
    <w:rsid w:val="00634A8B"/>
    <w:rsid w:val="00635066"/>
    <w:rsid w:val="00637311"/>
    <w:rsid w:val="006374F0"/>
    <w:rsid w:val="00637714"/>
    <w:rsid w:val="006406A4"/>
    <w:rsid w:val="00640CAF"/>
    <w:rsid w:val="006418B0"/>
    <w:rsid w:val="00644E45"/>
    <w:rsid w:val="00644F9B"/>
    <w:rsid w:val="00645264"/>
    <w:rsid w:val="00645CC9"/>
    <w:rsid w:val="006465FC"/>
    <w:rsid w:val="00646AE4"/>
    <w:rsid w:val="00646C5D"/>
    <w:rsid w:val="006477BD"/>
    <w:rsid w:val="00647FF8"/>
    <w:rsid w:val="0065025F"/>
    <w:rsid w:val="00651885"/>
    <w:rsid w:val="00654253"/>
    <w:rsid w:val="006545DF"/>
    <w:rsid w:val="00655CE0"/>
    <w:rsid w:val="00656122"/>
    <w:rsid w:val="00656E29"/>
    <w:rsid w:val="00662C8B"/>
    <w:rsid w:val="0066485B"/>
    <w:rsid w:val="00665738"/>
    <w:rsid w:val="0066792C"/>
    <w:rsid w:val="006706EC"/>
    <w:rsid w:val="00670812"/>
    <w:rsid w:val="0067119D"/>
    <w:rsid w:val="006711ED"/>
    <w:rsid w:val="0067165B"/>
    <w:rsid w:val="006721E1"/>
    <w:rsid w:val="00673DC9"/>
    <w:rsid w:val="00674321"/>
    <w:rsid w:val="00674F2A"/>
    <w:rsid w:val="0067592D"/>
    <w:rsid w:val="00676869"/>
    <w:rsid w:val="00676C3D"/>
    <w:rsid w:val="00677246"/>
    <w:rsid w:val="00680484"/>
    <w:rsid w:val="00680B0C"/>
    <w:rsid w:val="00681165"/>
    <w:rsid w:val="00682074"/>
    <w:rsid w:val="0068241D"/>
    <w:rsid w:val="00682C4F"/>
    <w:rsid w:val="00682F05"/>
    <w:rsid w:val="006853B5"/>
    <w:rsid w:val="006853F1"/>
    <w:rsid w:val="00687485"/>
    <w:rsid w:val="00687505"/>
    <w:rsid w:val="0069024E"/>
    <w:rsid w:val="00691A66"/>
    <w:rsid w:val="006927FD"/>
    <w:rsid w:val="00692C9B"/>
    <w:rsid w:val="00692E76"/>
    <w:rsid w:val="00693877"/>
    <w:rsid w:val="00694BD6"/>
    <w:rsid w:val="00695AAC"/>
    <w:rsid w:val="00696C54"/>
    <w:rsid w:val="00697DE8"/>
    <w:rsid w:val="006A0E8E"/>
    <w:rsid w:val="006A272D"/>
    <w:rsid w:val="006A479B"/>
    <w:rsid w:val="006A569E"/>
    <w:rsid w:val="006A5F64"/>
    <w:rsid w:val="006B04FA"/>
    <w:rsid w:val="006B140F"/>
    <w:rsid w:val="006B4543"/>
    <w:rsid w:val="006B500B"/>
    <w:rsid w:val="006B596F"/>
    <w:rsid w:val="006B7994"/>
    <w:rsid w:val="006B7CEC"/>
    <w:rsid w:val="006B7E32"/>
    <w:rsid w:val="006C0ADD"/>
    <w:rsid w:val="006C2B2A"/>
    <w:rsid w:val="006C31D5"/>
    <w:rsid w:val="006C3A98"/>
    <w:rsid w:val="006C6A5A"/>
    <w:rsid w:val="006C6EBB"/>
    <w:rsid w:val="006D1645"/>
    <w:rsid w:val="006D1829"/>
    <w:rsid w:val="006D22B2"/>
    <w:rsid w:val="006D2498"/>
    <w:rsid w:val="006D3BFE"/>
    <w:rsid w:val="006D53D4"/>
    <w:rsid w:val="006D5F43"/>
    <w:rsid w:val="006D6E72"/>
    <w:rsid w:val="006E13E6"/>
    <w:rsid w:val="006E1A0D"/>
    <w:rsid w:val="006E215C"/>
    <w:rsid w:val="006E272E"/>
    <w:rsid w:val="006E3E7C"/>
    <w:rsid w:val="006E5C84"/>
    <w:rsid w:val="006E6F41"/>
    <w:rsid w:val="006E7DD4"/>
    <w:rsid w:val="006F0B99"/>
    <w:rsid w:val="006F4C11"/>
    <w:rsid w:val="006F5DC9"/>
    <w:rsid w:val="006F613E"/>
    <w:rsid w:val="00700DAC"/>
    <w:rsid w:val="00701DD9"/>
    <w:rsid w:val="00702975"/>
    <w:rsid w:val="00702F52"/>
    <w:rsid w:val="00705E1F"/>
    <w:rsid w:val="00706391"/>
    <w:rsid w:val="00707873"/>
    <w:rsid w:val="00710431"/>
    <w:rsid w:val="007127E2"/>
    <w:rsid w:val="007148BA"/>
    <w:rsid w:val="007157C7"/>
    <w:rsid w:val="007167FD"/>
    <w:rsid w:val="007175ED"/>
    <w:rsid w:val="00717647"/>
    <w:rsid w:val="00717B11"/>
    <w:rsid w:val="00720D05"/>
    <w:rsid w:val="0072178B"/>
    <w:rsid w:val="00721EC0"/>
    <w:rsid w:val="007228CE"/>
    <w:rsid w:val="007242DA"/>
    <w:rsid w:val="007244BC"/>
    <w:rsid w:val="00725461"/>
    <w:rsid w:val="00727435"/>
    <w:rsid w:val="00727983"/>
    <w:rsid w:val="007321EA"/>
    <w:rsid w:val="00733E95"/>
    <w:rsid w:val="00734B00"/>
    <w:rsid w:val="00736B24"/>
    <w:rsid w:val="007407AA"/>
    <w:rsid w:val="00740DEF"/>
    <w:rsid w:val="00742EE5"/>
    <w:rsid w:val="0074589B"/>
    <w:rsid w:val="00750015"/>
    <w:rsid w:val="00751BD2"/>
    <w:rsid w:val="00752044"/>
    <w:rsid w:val="007525D1"/>
    <w:rsid w:val="00752F50"/>
    <w:rsid w:val="00754334"/>
    <w:rsid w:val="00755D97"/>
    <w:rsid w:val="00755EEC"/>
    <w:rsid w:val="00756EA8"/>
    <w:rsid w:val="0075711F"/>
    <w:rsid w:val="00757E64"/>
    <w:rsid w:val="00760607"/>
    <w:rsid w:val="00760FAA"/>
    <w:rsid w:val="00761375"/>
    <w:rsid w:val="007616BE"/>
    <w:rsid w:val="00761BA5"/>
    <w:rsid w:val="00762196"/>
    <w:rsid w:val="00764072"/>
    <w:rsid w:val="007642A1"/>
    <w:rsid w:val="00765B38"/>
    <w:rsid w:val="00766B98"/>
    <w:rsid w:val="007672B2"/>
    <w:rsid w:val="007701EE"/>
    <w:rsid w:val="00770B59"/>
    <w:rsid w:val="00770D66"/>
    <w:rsid w:val="007720C6"/>
    <w:rsid w:val="00773079"/>
    <w:rsid w:val="007740B1"/>
    <w:rsid w:val="007762BB"/>
    <w:rsid w:val="007762F5"/>
    <w:rsid w:val="0077682E"/>
    <w:rsid w:val="007772D8"/>
    <w:rsid w:val="007817C8"/>
    <w:rsid w:val="00781E7F"/>
    <w:rsid w:val="00782840"/>
    <w:rsid w:val="00785024"/>
    <w:rsid w:val="00786B26"/>
    <w:rsid w:val="007907EE"/>
    <w:rsid w:val="00790B4A"/>
    <w:rsid w:val="0079146B"/>
    <w:rsid w:val="007916C1"/>
    <w:rsid w:val="0079174C"/>
    <w:rsid w:val="0079369A"/>
    <w:rsid w:val="0079370E"/>
    <w:rsid w:val="00794076"/>
    <w:rsid w:val="00796142"/>
    <w:rsid w:val="00796246"/>
    <w:rsid w:val="00796269"/>
    <w:rsid w:val="007A189D"/>
    <w:rsid w:val="007A1C81"/>
    <w:rsid w:val="007A23FE"/>
    <w:rsid w:val="007A3C6C"/>
    <w:rsid w:val="007A514A"/>
    <w:rsid w:val="007A6104"/>
    <w:rsid w:val="007A678F"/>
    <w:rsid w:val="007A6ED6"/>
    <w:rsid w:val="007B14F4"/>
    <w:rsid w:val="007B163A"/>
    <w:rsid w:val="007B20FE"/>
    <w:rsid w:val="007B2BD3"/>
    <w:rsid w:val="007B31EE"/>
    <w:rsid w:val="007B4696"/>
    <w:rsid w:val="007B51F8"/>
    <w:rsid w:val="007B537F"/>
    <w:rsid w:val="007B6040"/>
    <w:rsid w:val="007C0D4A"/>
    <w:rsid w:val="007C1B2A"/>
    <w:rsid w:val="007C2CF1"/>
    <w:rsid w:val="007C3A80"/>
    <w:rsid w:val="007C5450"/>
    <w:rsid w:val="007C5971"/>
    <w:rsid w:val="007C5C7A"/>
    <w:rsid w:val="007C5FFC"/>
    <w:rsid w:val="007D13FB"/>
    <w:rsid w:val="007D2D8C"/>
    <w:rsid w:val="007D4894"/>
    <w:rsid w:val="007D7D02"/>
    <w:rsid w:val="007E1F94"/>
    <w:rsid w:val="007E2C89"/>
    <w:rsid w:val="007E327E"/>
    <w:rsid w:val="007E5D70"/>
    <w:rsid w:val="007E6A06"/>
    <w:rsid w:val="007E6D1F"/>
    <w:rsid w:val="007F0AB1"/>
    <w:rsid w:val="007F1976"/>
    <w:rsid w:val="007F51AB"/>
    <w:rsid w:val="007F5A8A"/>
    <w:rsid w:val="007F671B"/>
    <w:rsid w:val="007F7839"/>
    <w:rsid w:val="00800219"/>
    <w:rsid w:val="00801F1B"/>
    <w:rsid w:val="00802A2D"/>
    <w:rsid w:val="00804198"/>
    <w:rsid w:val="00804F0D"/>
    <w:rsid w:val="00805F25"/>
    <w:rsid w:val="00806833"/>
    <w:rsid w:val="00806863"/>
    <w:rsid w:val="008074F3"/>
    <w:rsid w:val="00810443"/>
    <w:rsid w:val="00810E98"/>
    <w:rsid w:val="0081222A"/>
    <w:rsid w:val="00813748"/>
    <w:rsid w:val="0081502C"/>
    <w:rsid w:val="008170C2"/>
    <w:rsid w:val="00820C11"/>
    <w:rsid w:val="00822D38"/>
    <w:rsid w:val="0082309F"/>
    <w:rsid w:val="008235B7"/>
    <w:rsid w:val="008235C6"/>
    <w:rsid w:val="008239D0"/>
    <w:rsid w:val="0082419F"/>
    <w:rsid w:val="00833DCB"/>
    <w:rsid w:val="008352D3"/>
    <w:rsid w:val="0083735A"/>
    <w:rsid w:val="008378B9"/>
    <w:rsid w:val="00840A23"/>
    <w:rsid w:val="00840F34"/>
    <w:rsid w:val="008416E3"/>
    <w:rsid w:val="00844166"/>
    <w:rsid w:val="008444D6"/>
    <w:rsid w:val="00844DF6"/>
    <w:rsid w:val="0084609E"/>
    <w:rsid w:val="00847069"/>
    <w:rsid w:val="00847B0F"/>
    <w:rsid w:val="00852F73"/>
    <w:rsid w:val="00854306"/>
    <w:rsid w:val="00854452"/>
    <w:rsid w:val="00855124"/>
    <w:rsid w:val="00856004"/>
    <w:rsid w:val="0085670D"/>
    <w:rsid w:val="0086028F"/>
    <w:rsid w:val="00860392"/>
    <w:rsid w:val="00860A46"/>
    <w:rsid w:val="00860AAA"/>
    <w:rsid w:val="00860C82"/>
    <w:rsid w:val="00862847"/>
    <w:rsid w:val="00865E14"/>
    <w:rsid w:val="008660D8"/>
    <w:rsid w:val="00871A2E"/>
    <w:rsid w:val="00872F77"/>
    <w:rsid w:val="00874466"/>
    <w:rsid w:val="00874853"/>
    <w:rsid w:val="00874CA2"/>
    <w:rsid w:val="00874E1A"/>
    <w:rsid w:val="0087643F"/>
    <w:rsid w:val="00877772"/>
    <w:rsid w:val="00877A43"/>
    <w:rsid w:val="00881418"/>
    <w:rsid w:val="00881BA6"/>
    <w:rsid w:val="008822AE"/>
    <w:rsid w:val="00887AAD"/>
    <w:rsid w:val="00887DD3"/>
    <w:rsid w:val="0089048B"/>
    <w:rsid w:val="008904E1"/>
    <w:rsid w:val="00891C76"/>
    <w:rsid w:val="00892482"/>
    <w:rsid w:val="00893D2D"/>
    <w:rsid w:val="00894A8D"/>
    <w:rsid w:val="00895347"/>
    <w:rsid w:val="008962AE"/>
    <w:rsid w:val="008A006F"/>
    <w:rsid w:val="008A2211"/>
    <w:rsid w:val="008A29B1"/>
    <w:rsid w:val="008A485F"/>
    <w:rsid w:val="008A5294"/>
    <w:rsid w:val="008A5ACC"/>
    <w:rsid w:val="008A657B"/>
    <w:rsid w:val="008A7936"/>
    <w:rsid w:val="008B1D33"/>
    <w:rsid w:val="008B2117"/>
    <w:rsid w:val="008B25A5"/>
    <w:rsid w:val="008B2C98"/>
    <w:rsid w:val="008B39E1"/>
    <w:rsid w:val="008B3CA2"/>
    <w:rsid w:val="008B4A25"/>
    <w:rsid w:val="008B5047"/>
    <w:rsid w:val="008B7322"/>
    <w:rsid w:val="008C0C88"/>
    <w:rsid w:val="008C1F62"/>
    <w:rsid w:val="008C27DA"/>
    <w:rsid w:val="008C34A5"/>
    <w:rsid w:val="008C6CEE"/>
    <w:rsid w:val="008C7AE4"/>
    <w:rsid w:val="008C7DA4"/>
    <w:rsid w:val="008C7DE8"/>
    <w:rsid w:val="008D00BD"/>
    <w:rsid w:val="008D1FE8"/>
    <w:rsid w:val="008D640E"/>
    <w:rsid w:val="008D7282"/>
    <w:rsid w:val="008E171C"/>
    <w:rsid w:val="008E2020"/>
    <w:rsid w:val="008E2636"/>
    <w:rsid w:val="008E29C4"/>
    <w:rsid w:val="008E300E"/>
    <w:rsid w:val="008E6AFF"/>
    <w:rsid w:val="008F0052"/>
    <w:rsid w:val="008F008B"/>
    <w:rsid w:val="008F1DAC"/>
    <w:rsid w:val="008F26A1"/>
    <w:rsid w:val="008F357C"/>
    <w:rsid w:val="008F368B"/>
    <w:rsid w:val="008F3A6B"/>
    <w:rsid w:val="008F4A2F"/>
    <w:rsid w:val="008F5534"/>
    <w:rsid w:val="008F5882"/>
    <w:rsid w:val="008F59FD"/>
    <w:rsid w:val="008F5D97"/>
    <w:rsid w:val="008F7DD0"/>
    <w:rsid w:val="00900FD3"/>
    <w:rsid w:val="009012E0"/>
    <w:rsid w:val="00901CE6"/>
    <w:rsid w:val="00901FA0"/>
    <w:rsid w:val="0090206C"/>
    <w:rsid w:val="009039F4"/>
    <w:rsid w:val="00904589"/>
    <w:rsid w:val="0090713C"/>
    <w:rsid w:val="00907CB7"/>
    <w:rsid w:val="009102BA"/>
    <w:rsid w:val="009135A0"/>
    <w:rsid w:val="00914662"/>
    <w:rsid w:val="009154F9"/>
    <w:rsid w:val="00916165"/>
    <w:rsid w:val="00916D5F"/>
    <w:rsid w:val="00917501"/>
    <w:rsid w:val="00917A6B"/>
    <w:rsid w:val="009200C8"/>
    <w:rsid w:val="009206A0"/>
    <w:rsid w:val="00920839"/>
    <w:rsid w:val="00921801"/>
    <w:rsid w:val="00922941"/>
    <w:rsid w:val="00922BBD"/>
    <w:rsid w:val="00922C7D"/>
    <w:rsid w:val="00923490"/>
    <w:rsid w:val="009240EC"/>
    <w:rsid w:val="00925725"/>
    <w:rsid w:val="00926296"/>
    <w:rsid w:val="0092650C"/>
    <w:rsid w:val="00930085"/>
    <w:rsid w:val="00930FE8"/>
    <w:rsid w:val="00931E6D"/>
    <w:rsid w:val="00932137"/>
    <w:rsid w:val="00932D43"/>
    <w:rsid w:val="00933496"/>
    <w:rsid w:val="00933576"/>
    <w:rsid w:val="00933AE2"/>
    <w:rsid w:val="009348F5"/>
    <w:rsid w:val="00935021"/>
    <w:rsid w:val="00936AEE"/>
    <w:rsid w:val="009371D1"/>
    <w:rsid w:val="00940D57"/>
    <w:rsid w:val="00942370"/>
    <w:rsid w:val="00942B17"/>
    <w:rsid w:val="00942E2B"/>
    <w:rsid w:val="00942E9F"/>
    <w:rsid w:val="00944B77"/>
    <w:rsid w:val="00946AA3"/>
    <w:rsid w:val="00946D34"/>
    <w:rsid w:val="009479B0"/>
    <w:rsid w:val="00950F12"/>
    <w:rsid w:val="0095183C"/>
    <w:rsid w:val="00951B1F"/>
    <w:rsid w:val="00952A16"/>
    <w:rsid w:val="00953C9B"/>
    <w:rsid w:val="009543BD"/>
    <w:rsid w:val="009561B7"/>
    <w:rsid w:val="0095629E"/>
    <w:rsid w:val="0095683E"/>
    <w:rsid w:val="00957C54"/>
    <w:rsid w:val="00964890"/>
    <w:rsid w:val="00964D80"/>
    <w:rsid w:val="00965492"/>
    <w:rsid w:val="00965B16"/>
    <w:rsid w:val="00966AD0"/>
    <w:rsid w:val="00966EE4"/>
    <w:rsid w:val="00967497"/>
    <w:rsid w:val="00970562"/>
    <w:rsid w:val="00971A11"/>
    <w:rsid w:val="00971CBB"/>
    <w:rsid w:val="009741A7"/>
    <w:rsid w:val="009744EC"/>
    <w:rsid w:val="00974954"/>
    <w:rsid w:val="00975C58"/>
    <w:rsid w:val="00977C81"/>
    <w:rsid w:val="00980855"/>
    <w:rsid w:val="009813EA"/>
    <w:rsid w:val="00981850"/>
    <w:rsid w:val="0098202E"/>
    <w:rsid w:val="00982D17"/>
    <w:rsid w:val="009841F7"/>
    <w:rsid w:val="009845E2"/>
    <w:rsid w:val="009865A1"/>
    <w:rsid w:val="00991C86"/>
    <w:rsid w:val="00993721"/>
    <w:rsid w:val="00993923"/>
    <w:rsid w:val="009952A5"/>
    <w:rsid w:val="00996049"/>
    <w:rsid w:val="00996571"/>
    <w:rsid w:val="00996767"/>
    <w:rsid w:val="00996C79"/>
    <w:rsid w:val="00996C8D"/>
    <w:rsid w:val="009A08E5"/>
    <w:rsid w:val="009A2BA3"/>
    <w:rsid w:val="009A4250"/>
    <w:rsid w:val="009A4E1A"/>
    <w:rsid w:val="009A656F"/>
    <w:rsid w:val="009A7818"/>
    <w:rsid w:val="009A7BAA"/>
    <w:rsid w:val="009A7BAB"/>
    <w:rsid w:val="009B04FB"/>
    <w:rsid w:val="009B0932"/>
    <w:rsid w:val="009B1997"/>
    <w:rsid w:val="009B1D63"/>
    <w:rsid w:val="009B1E4C"/>
    <w:rsid w:val="009B2958"/>
    <w:rsid w:val="009B3DA0"/>
    <w:rsid w:val="009B5278"/>
    <w:rsid w:val="009B70E9"/>
    <w:rsid w:val="009C0288"/>
    <w:rsid w:val="009C22BB"/>
    <w:rsid w:val="009C3FAA"/>
    <w:rsid w:val="009C70B1"/>
    <w:rsid w:val="009D3A1D"/>
    <w:rsid w:val="009D4892"/>
    <w:rsid w:val="009D6A8B"/>
    <w:rsid w:val="009D75BD"/>
    <w:rsid w:val="009E2FB5"/>
    <w:rsid w:val="009E3936"/>
    <w:rsid w:val="009E4813"/>
    <w:rsid w:val="009E5036"/>
    <w:rsid w:val="009E5753"/>
    <w:rsid w:val="009E783B"/>
    <w:rsid w:val="009F1F21"/>
    <w:rsid w:val="009F262D"/>
    <w:rsid w:val="009F632E"/>
    <w:rsid w:val="00A01FF9"/>
    <w:rsid w:val="00A02298"/>
    <w:rsid w:val="00A02696"/>
    <w:rsid w:val="00A02A9D"/>
    <w:rsid w:val="00A03832"/>
    <w:rsid w:val="00A03977"/>
    <w:rsid w:val="00A03DA3"/>
    <w:rsid w:val="00A062A9"/>
    <w:rsid w:val="00A06C26"/>
    <w:rsid w:val="00A07EB1"/>
    <w:rsid w:val="00A10596"/>
    <w:rsid w:val="00A12A44"/>
    <w:rsid w:val="00A12B02"/>
    <w:rsid w:val="00A2011D"/>
    <w:rsid w:val="00A21263"/>
    <w:rsid w:val="00A21737"/>
    <w:rsid w:val="00A220C6"/>
    <w:rsid w:val="00A2256E"/>
    <w:rsid w:val="00A22A3F"/>
    <w:rsid w:val="00A22C7B"/>
    <w:rsid w:val="00A22CA9"/>
    <w:rsid w:val="00A2350A"/>
    <w:rsid w:val="00A25867"/>
    <w:rsid w:val="00A276CE"/>
    <w:rsid w:val="00A3004F"/>
    <w:rsid w:val="00A30D07"/>
    <w:rsid w:val="00A316A8"/>
    <w:rsid w:val="00A3639D"/>
    <w:rsid w:val="00A375B6"/>
    <w:rsid w:val="00A37655"/>
    <w:rsid w:val="00A37921"/>
    <w:rsid w:val="00A422C8"/>
    <w:rsid w:val="00A443FB"/>
    <w:rsid w:val="00A45E9A"/>
    <w:rsid w:val="00A46FAC"/>
    <w:rsid w:val="00A52254"/>
    <w:rsid w:val="00A5264A"/>
    <w:rsid w:val="00A52C3B"/>
    <w:rsid w:val="00A52F02"/>
    <w:rsid w:val="00A54296"/>
    <w:rsid w:val="00A54718"/>
    <w:rsid w:val="00A54FAB"/>
    <w:rsid w:val="00A5565B"/>
    <w:rsid w:val="00A55895"/>
    <w:rsid w:val="00A55968"/>
    <w:rsid w:val="00A567BC"/>
    <w:rsid w:val="00A57AB2"/>
    <w:rsid w:val="00A60DAA"/>
    <w:rsid w:val="00A60E1D"/>
    <w:rsid w:val="00A61137"/>
    <w:rsid w:val="00A62D9B"/>
    <w:rsid w:val="00A63113"/>
    <w:rsid w:val="00A6532F"/>
    <w:rsid w:val="00A7062E"/>
    <w:rsid w:val="00A70AFB"/>
    <w:rsid w:val="00A717D0"/>
    <w:rsid w:val="00A721A9"/>
    <w:rsid w:val="00A73EBB"/>
    <w:rsid w:val="00A7408A"/>
    <w:rsid w:val="00A740AC"/>
    <w:rsid w:val="00A74E7E"/>
    <w:rsid w:val="00A768CD"/>
    <w:rsid w:val="00A77C6B"/>
    <w:rsid w:val="00A82CA2"/>
    <w:rsid w:val="00A82E87"/>
    <w:rsid w:val="00A83163"/>
    <w:rsid w:val="00A843EC"/>
    <w:rsid w:val="00A87E62"/>
    <w:rsid w:val="00A911E1"/>
    <w:rsid w:val="00A938AD"/>
    <w:rsid w:val="00A94434"/>
    <w:rsid w:val="00A948DF"/>
    <w:rsid w:val="00A95913"/>
    <w:rsid w:val="00AA0269"/>
    <w:rsid w:val="00AA3341"/>
    <w:rsid w:val="00AA3BC2"/>
    <w:rsid w:val="00AA74B0"/>
    <w:rsid w:val="00AA7DC6"/>
    <w:rsid w:val="00AB04BF"/>
    <w:rsid w:val="00AB073C"/>
    <w:rsid w:val="00AB1E6B"/>
    <w:rsid w:val="00AB3392"/>
    <w:rsid w:val="00AB4785"/>
    <w:rsid w:val="00AC0D37"/>
    <w:rsid w:val="00AC228F"/>
    <w:rsid w:val="00AC266F"/>
    <w:rsid w:val="00AC3560"/>
    <w:rsid w:val="00AC3C67"/>
    <w:rsid w:val="00AC3FD6"/>
    <w:rsid w:val="00AC45FD"/>
    <w:rsid w:val="00AC4984"/>
    <w:rsid w:val="00AC4ADB"/>
    <w:rsid w:val="00AC660F"/>
    <w:rsid w:val="00AD02E6"/>
    <w:rsid w:val="00AD0325"/>
    <w:rsid w:val="00AD19EA"/>
    <w:rsid w:val="00AD2F15"/>
    <w:rsid w:val="00AD3C7D"/>
    <w:rsid w:val="00AD498F"/>
    <w:rsid w:val="00AD50EE"/>
    <w:rsid w:val="00AD56F0"/>
    <w:rsid w:val="00AD6107"/>
    <w:rsid w:val="00AD6874"/>
    <w:rsid w:val="00AD6AA8"/>
    <w:rsid w:val="00AD7583"/>
    <w:rsid w:val="00AD7A63"/>
    <w:rsid w:val="00AE0367"/>
    <w:rsid w:val="00AE1212"/>
    <w:rsid w:val="00AE1221"/>
    <w:rsid w:val="00AE2AE8"/>
    <w:rsid w:val="00AE47BD"/>
    <w:rsid w:val="00AE6C98"/>
    <w:rsid w:val="00AE711E"/>
    <w:rsid w:val="00AE7B71"/>
    <w:rsid w:val="00AF04B0"/>
    <w:rsid w:val="00AF0D66"/>
    <w:rsid w:val="00AF20F0"/>
    <w:rsid w:val="00AF2CDF"/>
    <w:rsid w:val="00AF557D"/>
    <w:rsid w:val="00AF68E6"/>
    <w:rsid w:val="00AF6DAD"/>
    <w:rsid w:val="00AF7145"/>
    <w:rsid w:val="00AF7D9B"/>
    <w:rsid w:val="00B01992"/>
    <w:rsid w:val="00B02971"/>
    <w:rsid w:val="00B0311A"/>
    <w:rsid w:val="00B06552"/>
    <w:rsid w:val="00B07569"/>
    <w:rsid w:val="00B07571"/>
    <w:rsid w:val="00B10D74"/>
    <w:rsid w:val="00B1248D"/>
    <w:rsid w:val="00B13934"/>
    <w:rsid w:val="00B14BA7"/>
    <w:rsid w:val="00B161EE"/>
    <w:rsid w:val="00B16979"/>
    <w:rsid w:val="00B16D02"/>
    <w:rsid w:val="00B17BE0"/>
    <w:rsid w:val="00B21538"/>
    <w:rsid w:val="00B22F8F"/>
    <w:rsid w:val="00B22FA1"/>
    <w:rsid w:val="00B25AE3"/>
    <w:rsid w:val="00B25E08"/>
    <w:rsid w:val="00B2661C"/>
    <w:rsid w:val="00B31021"/>
    <w:rsid w:val="00B31228"/>
    <w:rsid w:val="00B343D0"/>
    <w:rsid w:val="00B34468"/>
    <w:rsid w:val="00B3533A"/>
    <w:rsid w:val="00B3689D"/>
    <w:rsid w:val="00B37D91"/>
    <w:rsid w:val="00B402DC"/>
    <w:rsid w:val="00B42CC9"/>
    <w:rsid w:val="00B43C2F"/>
    <w:rsid w:val="00B476C4"/>
    <w:rsid w:val="00B4770E"/>
    <w:rsid w:val="00B511B7"/>
    <w:rsid w:val="00B5143A"/>
    <w:rsid w:val="00B5618A"/>
    <w:rsid w:val="00B562F0"/>
    <w:rsid w:val="00B5694F"/>
    <w:rsid w:val="00B5731C"/>
    <w:rsid w:val="00B625EC"/>
    <w:rsid w:val="00B6435D"/>
    <w:rsid w:val="00B65372"/>
    <w:rsid w:val="00B65FEC"/>
    <w:rsid w:val="00B6650D"/>
    <w:rsid w:val="00B67048"/>
    <w:rsid w:val="00B67162"/>
    <w:rsid w:val="00B67B39"/>
    <w:rsid w:val="00B70A37"/>
    <w:rsid w:val="00B70AE8"/>
    <w:rsid w:val="00B713CF"/>
    <w:rsid w:val="00B7186F"/>
    <w:rsid w:val="00B732FC"/>
    <w:rsid w:val="00B75153"/>
    <w:rsid w:val="00B7546E"/>
    <w:rsid w:val="00B768E4"/>
    <w:rsid w:val="00B76CCC"/>
    <w:rsid w:val="00B76F76"/>
    <w:rsid w:val="00B77D36"/>
    <w:rsid w:val="00B802EF"/>
    <w:rsid w:val="00B808A1"/>
    <w:rsid w:val="00B81038"/>
    <w:rsid w:val="00B8191D"/>
    <w:rsid w:val="00B84446"/>
    <w:rsid w:val="00B8501A"/>
    <w:rsid w:val="00B85582"/>
    <w:rsid w:val="00B87634"/>
    <w:rsid w:val="00B87792"/>
    <w:rsid w:val="00B90E33"/>
    <w:rsid w:val="00B91BD6"/>
    <w:rsid w:val="00B9281F"/>
    <w:rsid w:val="00B97430"/>
    <w:rsid w:val="00B97C55"/>
    <w:rsid w:val="00BA15B6"/>
    <w:rsid w:val="00BA2129"/>
    <w:rsid w:val="00BA2543"/>
    <w:rsid w:val="00BA43CE"/>
    <w:rsid w:val="00BA4B46"/>
    <w:rsid w:val="00BA5B32"/>
    <w:rsid w:val="00BA5CCB"/>
    <w:rsid w:val="00BB0DC8"/>
    <w:rsid w:val="00BB2DFD"/>
    <w:rsid w:val="00BB3C34"/>
    <w:rsid w:val="00BB45F4"/>
    <w:rsid w:val="00BB5024"/>
    <w:rsid w:val="00BB65F8"/>
    <w:rsid w:val="00BB6C55"/>
    <w:rsid w:val="00BB7691"/>
    <w:rsid w:val="00BB7859"/>
    <w:rsid w:val="00BB7ACF"/>
    <w:rsid w:val="00BC2DCD"/>
    <w:rsid w:val="00BC3C00"/>
    <w:rsid w:val="00BC5ABF"/>
    <w:rsid w:val="00BD09B7"/>
    <w:rsid w:val="00BD1EF4"/>
    <w:rsid w:val="00BD273D"/>
    <w:rsid w:val="00BD4AA4"/>
    <w:rsid w:val="00BD4F54"/>
    <w:rsid w:val="00BD5498"/>
    <w:rsid w:val="00BD6E8A"/>
    <w:rsid w:val="00BD7A6D"/>
    <w:rsid w:val="00BE09A5"/>
    <w:rsid w:val="00BE24D8"/>
    <w:rsid w:val="00BE3926"/>
    <w:rsid w:val="00BE4B34"/>
    <w:rsid w:val="00BE524B"/>
    <w:rsid w:val="00BE604E"/>
    <w:rsid w:val="00BF231E"/>
    <w:rsid w:val="00BF24DA"/>
    <w:rsid w:val="00BF25BF"/>
    <w:rsid w:val="00BF315F"/>
    <w:rsid w:val="00BF462D"/>
    <w:rsid w:val="00BF49EA"/>
    <w:rsid w:val="00BF53C8"/>
    <w:rsid w:val="00BF6CB6"/>
    <w:rsid w:val="00BF7E0C"/>
    <w:rsid w:val="00C00B28"/>
    <w:rsid w:val="00C01481"/>
    <w:rsid w:val="00C02689"/>
    <w:rsid w:val="00C02AE5"/>
    <w:rsid w:val="00C05149"/>
    <w:rsid w:val="00C0711B"/>
    <w:rsid w:val="00C07F82"/>
    <w:rsid w:val="00C1056E"/>
    <w:rsid w:val="00C10FE3"/>
    <w:rsid w:val="00C11BDE"/>
    <w:rsid w:val="00C1211B"/>
    <w:rsid w:val="00C12D38"/>
    <w:rsid w:val="00C13AAB"/>
    <w:rsid w:val="00C14768"/>
    <w:rsid w:val="00C14F59"/>
    <w:rsid w:val="00C15856"/>
    <w:rsid w:val="00C158C6"/>
    <w:rsid w:val="00C20B5D"/>
    <w:rsid w:val="00C20B6A"/>
    <w:rsid w:val="00C2126A"/>
    <w:rsid w:val="00C23397"/>
    <w:rsid w:val="00C23823"/>
    <w:rsid w:val="00C265F4"/>
    <w:rsid w:val="00C2685B"/>
    <w:rsid w:val="00C27482"/>
    <w:rsid w:val="00C274A1"/>
    <w:rsid w:val="00C30CED"/>
    <w:rsid w:val="00C3127C"/>
    <w:rsid w:val="00C3256F"/>
    <w:rsid w:val="00C339FB"/>
    <w:rsid w:val="00C3610D"/>
    <w:rsid w:val="00C3654B"/>
    <w:rsid w:val="00C3676C"/>
    <w:rsid w:val="00C37347"/>
    <w:rsid w:val="00C37503"/>
    <w:rsid w:val="00C402D5"/>
    <w:rsid w:val="00C403E0"/>
    <w:rsid w:val="00C419CE"/>
    <w:rsid w:val="00C41B0C"/>
    <w:rsid w:val="00C41E12"/>
    <w:rsid w:val="00C43330"/>
    <w:rsid w:val="00C4375C"/>
    <w:rsid w:val="00C44554"/>
    <w:rsid w:val="00C45C1C"/>
    <w:rsid w:val="00C4657C"/>
    <w:rsid w:val="00C469DA"/>
    <w:rsid w:val="00C46F81"/>
    <w:rsid w:val="00C47B96"/>
    <w:rsid w:val="00C50E9C"/>
    <w:rsid w:val="00C513CC"/>
    <w:rsid w:val="00C52CBF"/>
    <w:rsid w:val="00C533F0"/>
    <w:rsid w:val="00C542AD"/>
    <w:rsid w:val="00C5550F"/>
    <w:rsid w:val="00C55CE7"/>
    <w:rsid w:val="00C56EB8"/>
    <w:rsid w:val="00C56F54"/>
    <w:rsid w:val="00C60458"/>
    <w:rsid w:val="00C61C7B"/>
    <w:rsid w:val="00C6215F"/>
    <w:rsid w:val="00C63FA8"/>
    <w:rsid w:val="00C65819"/>
    <w:rsid w:val="00C65971"/>
    <w:rsid w:val="00C705E9"/>
    <w:rsid w:val="00C70890"/>
    <w:rsid w:val="00C711D1"/>
    <w:rsid w:val="00C71293"/>
    <w:rsid w:val="00C7214D"/>
    <w:rsid w:val="00C738EE"/>
    <w:rsid w:val="00C76798"/>
    <w:rsid w:val="00C77D63"/>
    <w:rsid w:val="00C8082B"/>
    <w:rsid w:val="00C81281"/>
    <w:rsid w:val="00C815A8"/>
    <w:rsid w:val="00C81E4B"/>
    <w:rsid w:val="00C83180"/>
    <w:rsid w:val="00C8344C"/>
    <w:rsid w:val="00C83BB3"/>
    <w:rsid w:val="00C845DB"/>
    <w:rsid w:val="00C84CA3"/>
    <w:rsid w:val="00C8677E"/>
    <w:rsid w:val="00C868C5"/>
    <w:rsid w:val="00C8775D"/>
    <w:rsid w:val="00C90907"/>
    <w:rsid w:val="00C915B7"/>
    <w:rsid w:val="00C92B81"/>
    <w:rsid w:val="00C93D0D"/>
    <w:rsid w:val="00C94826"/>
    <w:rsid w:val="00C954DC"/>
    <w:rsid w:val="00C95B00"/>
    <w:rsid w:val="00C95C22"/>
    <w:rsid w:val="00C970E4"/>
    <w:rsid w:val="00C97839"/>
    <w:rsid w:val="00CA02B4"/>
    <w:rsid w:val="00CA04D6"/>
    <w:rsid w:val="00CA0716"/>
    <w:rsid w:val="00CA0BFA"/>
    <w:rsid w:val="00CA2376"/>
    <w:rsid w:val="00CA38C3"/>
    <w:rsid w:val="00CA3C45"/>
    <w:rsid w:val="00CA5168"/>
    <w:rsid w:val="00CA6485"/>
    <w:rsid w:val="00CA6B7A"/>
    <w:rsid w:val="00CA7997"/>
    <w:rsid w:val="00CA7EF4"/>
    <w:rsid w:val="00CB16BD"/>
    <w:rsid w:val="00CB1FA0"/>
    <w:rsid w:val="00CB336E"/>
    <w:rsid w:val="00CB3D8B"/>
    <w:rsid w:val="00CB4701"/>
    <w:rsid w:val="00CB599A"/>
    <w:rsid w:val="00CB74F8"/>
    <w:rsid w:val="00CC1357"/>
    <w:rsid w:val="00CC15CD"/>
    <w:rsid w:val="00CC2027"/>
    <w:rsid w:val="00CC529C"/>
    <w:rsid w:val="00CC7920"/>
    <w:rsid w:val="00CD3962"/>
    <w:rsid w:val="00CD4343"/>
    <w:rsid w:val="00CD4A3E"/>
    <w:rsid w:val="00CD51F4"/>
    <w:rsid w:val="00CD5523"/>
    <w:rsid w:val="00CD595B"/>
    <w:rsid w:val="00CD597E"/>
    <w:rsid w:val="00CD7068"/>
    <w:rsid w:val="00CD7262"/>
    <w:rsid w:val="00CD736C"/>
    <w:rsid w:val="00CE03A5"/>
    <w:rsid w:val="00CE040C"/>
    <w:rsid w:val="00CE0C60"/>
    <w:rsid w:val="00CE143A"/>
    <w:rsid w:val="00CE177A"/>
    <w:rsid w:val="00CE19A0"/>
    <w:rsid w:val="00CE1DA0"/>
    <w:rsid w:val="00CE3005"/>
    <w:rsid w:val="00CE3301"/>
    <w:rsid w:val="00CE3683"/>
    <w:rsid w:val="00CE381F"/>
    <w:rsid w:val="00CE5343"/>
    <w:rsid w:val="00CE6724"/>
    <w:rsid w:val="00CF0A69"/>
    <w:rsid w:val="00CF1324"/>
    <w:rsid w:val="00CF2A75"/>
    <w:rsid w:val="00CF2E5F"/>
    <w:rsid w:val="00CF41EC"/>
    <w:rsid w:val="00CF505A"/>
    <w:rsid w:val="00CF5CE8"/>
    <w:rsid w:val="00CF6240"/>
    <w:rsid w:val="00CF6B1C"/>
    <w:rsid w:val="00CF751C"/>
    <w:rsid w:val="00CF7719"/>
    <w:rsid w:val="00D005F9"/>
    <w:rsid w:val="00D00A39"/>
    <w:rsid w:val="00D02495"/>
    <w:rsid w:val="00D02C35"/>
    <w:rsid w:val="00D0367F"/>
    <w:rsid w:val="00D03C30"/>
    <w:rsid w:val="00D04E71"/>
    <w:rsid w:val="00D05B93"/>
    <w:rsid w:val="00D05D16"/>
    <w:rsid w:val="00D1104F"/>
    <w:rsid w:val="00D11307"/>
    <w:rsid w:val="00D113DC"/>
    <w:rsid w:val="00D1299D"/>
    <w:rsid w:val="00D12E15"/>
    <w:rsid w:val="00D132A9"/>
    <w:rsid w:val="00D140F7"/>
    <w:rsid w:val="00D14672"/>
    <w:rsid w:val="00D156EE"/>
    <w:rsid w:val="00D16DE9"/>
    <w:rsid w:val="00D1743F"/>
    <w:rsid w:val="00D2372F"/>
    <w:rsid w:val="00D24909"/>
    <w:rsid w:val="00D30E0C"/>
    <w:rsid w:val="00D324BF"/>
    <w:rsid w:val="00D34B8E"/>
    <w:rsid w:val="00D34D46"/>
    <w:rsid w:val="00D37B46"/>
    <w:rsid w:val="00D40220"/>
    <w:rsid w:val="00D41A50"/>
    <w:rsid w:val="00D420EA"/>
    <w:rsid w:val="00D42E06"/>
    <w:rsid w:val="00D42FAA"/>
    <w:rsid w:val="00D433D4"/>
    <w:rsid w:val="00D43C61"/>
    <w:rsid w:val="00D449F5"/>
    <w:rsid w:val="00D473F9"/>
    <w:rsid w:val="00D54211"/>
    <w:rsid w:val="00D54A2E"/>
    <w:rsid w:val="00D56EA5"/>
    <w:rsid w:val="00D60319"/>
    <w:rsid w:val="00D60D2F"/>
    <w:rsid w:val="00D62F34"/>
    <w:rsid w:val="00D638DB"/>
    <w:rsid w:val="00D66ABE"/>
    <w:rsid w:val="00D711E3"/>
    <w:rsid w:val="00D71CAD"/>
    <w:rsid w:val="00D72F73"/>
    <w:rsid w:val="00D740F3"/>
    <w:rsid w:val="00D747DC"/>
    <w:rsid w:val="00D76313"/>
    <w:rsid w:val="00D80B9C"/>
    <w:rsid w:val="00D81521"/>
    <w:rsid w:val="00D8352A"/>
    <w:rsid w:val="00D876FF"/>
    <w:rsid w:val="00D878A0"/>
    <w:rsid w:val="00D90E48"/>
    <w:rsid w:val="00D91408"/>
    <w:rsid w:val="00D9174B"/>
    <w:rsid w:val="00D9235F"/>
    <w:rsid w:val="00D92D15"/>
    <w:rsid w:val="00D9331A"/>
    <w:rsid w:val="00D93CF5"/>
    <w:rsid w:val="00D94112"/>
    <w:rsid w:val="00DA011F"/>
    <w:rsid w:val="00DA0DAB"/>
    <w:rsid w:val="00DA1C56"/>
    <w:rsid w:val="00DA2DF8"/>
    <w:rsid w:val="00DA3C48"/>
    <w:rsid w:val="00DA3D13"/>
    <w:rsid w:val="00DA60DD"/>
    <w:rsid w:val="00DA720B"/>
    <w:rsid w:val="00DB02F2"/>
    <w:rsid w:val="00DB0C2D"/>
    <w:rsid w:val="00DB1673"/>
    <w:rsid w:val="00DB2B9F"/>
    <w:rsid w:val="00DB4424"/>
    <w:rsid w:val="00DB4694"/>
    <w:rsid w:val="00DB4963"/>
    <w:rsid w:val="00DB5EAF"/>
    <w:rsid w:val="00DB65F2"/>
    <w:rsid w:val="00DB6FF4"/>
    <w:rsid w:val="00DB7583"/>
    <w:rsid w:val="00DB7AB3"/>
    <w:rsid w:val="00DC1BB8"/>
    <w:rsid w:val="00DC3D28"/>
    <w:rsid w:val="00DC49C4"/>
    <w:rsid w:val="00DC51BA"/>
    <w:rsid w:val="00DC6D89"/>
    <w:rsid w:val="00DC752B"/>
    <w:rsid w:val="00DC7C86"/>
    <w:rsid w:val="00DC7EFF"/>
    <w:rsid w:val="00DD006C"/>
    <w:rsid w:val="00DD040F"/>
    <w:rsid w:val="00DD2641"/>
    <w:rsid w:val="00DD28C0"/>
    <w:rsid w:val="00DD555F"/>
    <w:rsid w:val="00DD6DFD"/>
    <w:rsid w:val="00DD7082"/>
    <w:rsid w:val="00DE080C"/>
    <w:rsid w:val="00DE2F5B"/>
    <w:rsid w:val="00DE4A2B"/>
    <w:rsid w:val="00DE54F9"/>
    <w:rsid w:val="00DE7C41"/>
    <w:rsid w:val="00DE7EA1"/>
    <w:rsid w:val="00DF02A2"/>
    <w:rsid w:val="00DF154E"/>
    <w:rsid w:val="00DF1F3B"/>
    <w:rsid w:val="00DF1F63"/>
    <w:rsid w:val="00DF1FEB"/>
    <w:rsid w:val="00DF27FC"/>
    <w:rsid w:val="00DF47E6"/>
    <w:rsid w:val="00DF6374"/>
    <w:rsid w:val="00DF63C4"/>
    <w:rsid w:val="00DF6736"/>
    <w:rsid w:val="00DF69F6"/>
    <w:rsid w:val="00E01357"/>
    <w:rsid w:val="00E02C16"/>
    <w:rsid w:val="00E04935"/>
    <w:rsid w:val="00E063DB"/>
    <w:rsid w:val="00E06502"/>
    <w:rsid w:val="00E066C3"/>
    <w:rsid w:val="00E1029C"/>
    <w:rsid w:val="00E128BD"/>
    <w:rsid w:val="00E12932"/>
    <w:rsid w:val="00E137C9"/>
    <w:rsid w:val="00E13D5E"/>
    <w:rsid w:val="00E1425A"/>
    <w:rsid w:val="00E15B28"/>
    <w:rsid w:val="00E172EE"/>
    <w:rsid w:val="00E232E5"/>
    <w:rsid w:val="00E24015"/>
    <w:rsid w:val="00E255C4"/>
    <w:rsid w:val="00E27EF7"/>
    <w:rsid w:val="00E301F7"/>
    <w:rsid w:val="00E30869"/>
    <w:rsid w:val="00E30F8F"/>
    <w:rsid w:val="00E313B3"/>
    <w:rsid w:val="00E32C05"/>
    <w:rsid w:val="00E33550"/>
    <w:rsid w:val="00E33BD2"/>
    <w:rsid w:val="00E342ED"/>
    <w:rsid w:val="00E35675"/>
    <w:rsid w:val="00E35C24"/>
    <w:rsid w:val="00E36AF8"/>
    <w:rsid w:val="00E371FD"/>
    <w:rsid w:val="00E40F75"/>
    <w:rsid w:val="00E417E6"/>
    <w:rsid w:val="00E45660"/>
    <w:rsid w:val="00E45F2D"/>
    <w:rsid w:val="00E46799"/>
    <w:rsid w:val="00E5183A"/>
    <w:rsid w:val="00E51996"/>
    <w:rsid w:val="00E545A6"/>
    <w:rsid w:val="00E54CB2"/>
    <w:rsid w:val="00E55601"/>
    <w:rsid w:val="00E557A9"/>
    <w:rsid w:val="00E563E6"/>
    <w:rsid w:val="00E57376"/>
    <w:rsid w:val="00E5738C"/>
    <w:rsid w:val="00E57A31"/>
    <w:rsid w:val="00E61057"/>
    <w:rsid w:val="00E61F70"/>
    <w:rsid w:val="00E62479"/>
    <w:rsid w:val="00E6434D"/>
    <w:rsid w:val="00E6550C"/>
    <w:rsid w:val="00E66635"/>
    <w:rsid w:val="00E672DF"/>
    <w:rsid w:val="00E679EC"/>
    <w:rsid w:val="00E67D11"/>
    <w:rsid w:val="00E67D28"/>
    <w:rsid w:val="00E72659"/>
    <w:rsid w:val="00E72C74"/>
    <w:rsid w:val="00E74A03"/>
    <w:rsid w:val="00E75C0E"/>
    <w:rsid w:val="00E7649A"/>
    <w:rsid w:val="00E76B56"/>
    <w:rsid w:val="00E802B6"/>
    <w:rsid w:val="00E81B92"/>
    <w:rsid w:val="00E81CA5"/>
    <w:rsid w:val="00E84195"/>
    <w:rsid w:val="00E90774"/>
    <w:rsid w:val="00E908F3"/>
    <w:rsid w:val="00E91771"/>
    <w:rsid w:val="00E922D0"/>
    <w:rsid w:val="00E929F2"/>
    <w:rsid w:val="00E93DAE"/>
    <w:rsid w:val="00E94B90"/>
    <w:rsid w:val="00E95667"/>
    <w:rsid w:val="00E96EC1"/>
    <w:rsid w:val="00E97E26"/>
    <w:rsid w:val="00EA0C78"/>
    <w:rsid w:val="00EA1594"/>
    <w:rsid w:val="00EA1981"/>
    <w:rsid w:val="00EA2A3B"/>
    <w:rsid w:val="00EA3339"/>
    <w:rsid w:val="00EA354F"/>
    <w:rsid w:val="00EA3A5B"/>
    <w:rsid w:val="00EA44EA"/>
    <w:rsid w:val="00EA44EB"/>
    <w:rsid w:val="00EA6569"/>
    <w:rsid w:val="00EA6B3F"/>
    <w:rsid w:val="00EA7110"/>
    <w:rsid w:val="00EA7BC5"/>
    <w:rsid w:val="00EB275F"/>
    <w:rsid w:val="00EB3040"/>
    <w:rsid w:val="00EB5FBF"/>
    <w:rsid w:val="00EB754C"/>
    <w:rsid w:val="00EB798E"/>
    <w:rsid w:val="00EC106A"/>
    <w:rsid w:val="00EC168A"/>
    <w:rsid w:val="00EC23E2"/>
    <w:rsid w:val="00EC277B"/>
    <w:rsid w:val="00EC4303"/>
    <w:rsid w:val="00EC5EFC"/>
    <w:rsid w:val="00EC624E"/>
    <w:rsid w:val="00ED03E6"/>
    <w:rsid w:val="00ED10F9"/>
    <w:rsid w:val="00ED128A"/>
    <w:rsid w:val="00ED175C"/>
    <w:rsid w:val="00ED1E72"/>
    <w:rsid w:val="00ED1E9B"/>
    <w:rsid w:val="00ED2064"/>
    <w:rsid w:val="00ED338A"/>
    <w:rsid w:val="00ED409F"/>
    <w:rsid w:val="00ED4220"/>
    <w:rsid w:val="00ED430D"/>
    <w:rsid w:val="00ED435D"/>
    <w:rsid w:val="00ED7A59"/>
    <w:rsid w:val="00EE25FE"/>
    <w:rsid w:val="00EE3734"/>
    <w:rsid w:val="00EE3BD0"/>
    <w:rsid w:val="00EE674E"/>
    <w:rsid w:val="00EE772C"/>
    <w:rsid w:val="00EF063C"/>
    <w:rsid w:val="00EF1CCC"/>
    <w:rsid w:val="00EF39C6"/>
    <w:rsid w:val="00EF47AC"/>
    <w:rsid w:val="00EF4F30"/>
    <w:rsid w:val="00EF52B5"/>
    <w:rsid w:val="00EF6218"/>
    <w:rsid w:val="00F001CC"/>
    <w:rsid w:val="00F00D32"/>
    <w:rsid w:val="00F01A04"/>
    <w:rsid w:val="00F01DE8"/>
    <w:rsid w:val="00F02EF3"/>
    <w:rsid w:val="00F03CAC"/>
    <w:rsid w:val="00F0554E"/>
    <w:rsid w:val="00F05C88"/>
    <w:rsid w:val="00F068CF"/>
    <w:rsid w:val="00F06AD1"/>
    <w:rsid w:val="00F1033A"/>
    <w:rsid w:val="00F14877"/>
    <w:rsid w:val="00F15BA4"/>
    <w:rsid w:val="00F163E3"/>
    <w:rsid w:val="00F20B8E"/>
    <w:rsid w:val="00F23375"/>
    <w:rsid w:val="00F24521"/>
    <w:rsid w:val="00F26D52"/>
    <w:rsid w:val="00F2736F"/>
    <w:rsid w:val="00F27619"/>
    <w:rsid w:val="00F27BE7"/>
    <w:rsid w:val="00F30D60"/>
    <w:rsid w:val="00F325C4"/>
    <w:rsid w:val="00F32693"/>
    <w:rsid w:val="00F32A5D"/>
    <w:rsid w:val="00F331EA"/>
    <w:rsid w:val="00F34139"/>
    <w:rsid w:val="00F34A30"/>
    <w:rsid w:val="00F35D07"/>
    <w:rsid w:val="00F4252E"/>
    <w:rsid w:val="00F434F2"/>
    <w:rsid w:val="00F45B5B"/>
    <w:rsid w:val="00F45C86"/>
    <w:rsid w:val="00F460CA"/>
    <w:rsid w:val="00F461AC"/>
    <w:rsid w:val="00F46CD6"/>
    <w:rsid w:val="00F47502"/>
    <w:rsid w:val="00F503F7"/>
    <w:rsid w:val="00F513EC"/>
    <w:rsid w:val="00F527EF"/>
    <w:rsid w:val="00F52ECF"/>
    <w:rsid w:val="00F56403"/>
    <w:rsid w:val="00F57954"/>
    <w:rsid w:val="00F57F1C"/>
    <w:rsid w:val="00F6245E"/>
    <w:rsid w:val="00F625DB"/>
    <w:rsid w:val="00F63C05"/>
    <w:rsid w:val="00F64194"/>
    <w:rsid w:val="00F642E5"/>
    <w:rsid w:val="00F67D41"/>
    <w:rsid w:val="00F70579"/>
    <w:rsid w:val="00F706DC"/>
    <w:rsid w:val="00F716A4"/>
    <w:rsid w:val="00F72695"/>
    <w:rsid w:val="00F734A3"/>
    <w:rsid w:val="00F73F2D"/>
    <w:rsid w:val="00F743AE"/>
    <w:rsid w:val="00F75B79"/>
    <w:rsid w:val="00F76DF9"/>
    <w:rsid w:val="00F80A46"/>
    <w:rsid w:val="00F80FBB"/>
    <w:rsid w:val="00F82438"/>
    <w:rsid w:val="00F85349"/>
    <w:rsid w:val="00F862B8"/>
    <w:rsid w:val="00F9006D"/>
    <w:rsid w:val="00F904AC"/>
    <w:rsid w:val="00F90C45"/>
    <w:rsid w:val="00F911A8"/>
    <w:rsid w:val="00F91FBB"/>
    <w:rsid w:val="00F934CA"/>
    <w:rsid w:val="00F95BE1"/>
    <w:rsid w:val="00F9759D"/>
    <w:rsid w:val="00F97D25"/>
    <w:rsid w:val="00FA07B6"/>
    <w:rsid w:val="00FA1A80"/>
    <w:rsid w:val="00FA1AC3"/>
    <w:rsid w:val="00FA385A"/>
    <w:rsid w:val="00FB21C4"/>
    <w:rsid w:val="00FB2912"/>
    <w:rsid w:val="00FB2A4C"/>
    <w:rsid w:val="00FB2CED"/>
    <w:rsid w:val="00FB2D88"/>
    <w:rsid w:val="00FB4FBC"/>
    <w:rsid w:val="00FB5528"/>
    <w:rsid w:val="00FB5F29"/>
    <w:rsid w:val="00FC127E"/>
    <w:rsid w:val="00FC12DB"/>
    <w:rsid w:val="00FC1B1F"/>
    <w:rsid w:val="00FC3EDF"/>
    <w:rsid w:val="00FC4330"/>
    <w:rsid w:val="00FC7C0E"/>
    <w:rsid w:val="00FD0686"/>
    <w:rsid w:val="00FD30F3"/>
    <w:rsid w:val="00FD3C1C"/>
    <w:rsid w:val="00FD6CF7"/>
    <w:rsid w:val="00FE0629"/>
    <w:rsid w:val="00FE1BB3"/>
    <w:rsid w:val="00FE2C7F"/>
    <w:rsid w:val="00FE335F"/>
    <w:rsid w:val="00FE390A"/>
    <w:rsid w:val="00FE6BE6"/>
    <w:rsid w:val="00FE755C"/>
    <w:rsid w:val="00FE7C10"/>
    <w:rsid w:val="00FF1AD7"/>
    <w:rsid w:val="00FF3938"/>
    <w:rsid w:val="00FF3B7B"/>
    <w:rsid w:val="00FF3BAB"/>
    <w:rsid w:val="00FF3C7D"/>
    <w:rsid w:val="00FF4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B15338"/>
  <w15:docId w15:val="{6E1CF4FB-A74D-45D0-A26A-778E858B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69E"/>
    <w:rPr>
      <w:rFonts w:ascii="Arial" w:hAnsi="Arial" w:cs="Arial"/>
      <w:sz w:val="24"/>
      <w:szCs w:val="24"/>
    </w:rPr>
  </w:style>
  <w:style w:type="paragraph" w:styleId="Heading1">
    <w:name w:val="heading 1"/>
    <w:basedOn w:val="Normal"/>
    <w:next w:val="BodyText"/>
    <w:link w:val="Heading1Char"/>
    <w:uiPriority w:val="99"/>
    <w:qFormat/>
    <w:rsid w:val="00365F7A"/>
    <w:pPr>
      <w:keepNext/>
      <w:spacing w:before="240" w:after="120"/>
      <w:outlineLvl w:val="0"/>
    </w:pPr>
    <w:rPr>
      <w:rFonts w:ascii="Palatino" w:hAnsi="Palatino"/>
      <w:b/>
      <w:caps/>
      <w:szCs w:val="20"/>
    </w:rPr>
  </w:style>
  <w:style w:type="paragraph" w:styleId="Heading2">
    <w:name w:val="heading 2"/>
    <w:basedOn w:val="Normal"/>
    <w:next w:val="BodyText"/>
    <w:link w:val="Heading2Char"/>
    <w:uiPriority w:val="99"/>
    <w:qFormat/>
    <w:rsid w:val="00365F7A"/>
    <w:pPr>
      <w:keepNext/>
      <w:spacing w:after="120"/>
      <w:outlineLvl w:val="1"/>
    </w:pPr>
    <w:rPr>
      <w:rFonts w:ascii="Palatino" w:hAnsi="Palatino"/>
      <w:b/>
      <w:szCs w:val="20"/>
    </w:rPr>
  </w:style>
  <w:style w:type="paragraph" w:styleId="Heading3">
    <w:name w:val="heading 3"/>
    <w:basedOn w:val="Normal"/>
    <w:next w:val="BodyText"/>
    <w:link w:val="Heading3Char"/>
    <w:uiPriority w:val="99"/>
    <w:qFormat/>
    <w:rsid w:val="00365F7A"/>
    <w:pPr>
      <w:keepNext/>
      <w:spacing w:after="120"/>
      <w:outlineLvl w:val="2"/>
    </w:pPr>
    <w:rPr>
      <w:rFonts w:ascii="Palatino" w:hAnsi="Palatino"/>
      <w:b/>
      <w:i/>
      <w:szCs w:val="20"/>
    </w:rPr>
  </w:style>
  <w:style w:type="paragraph" w:styleId="Heading4">
    <w:name w:val="heading 4"/>
    <w:basedOn w:val="Normal"/>
    <w:next w:val="BodyText"/>
    <w:link w:val="Heading4Char"/>
    <w:uiPriority w:val="99"/>
    <w:qFormat/>
    <w:rsid w:val="00365F7A"/>
    <w:pPr>
      <w:keepNext/>
      <w:spacing w:after="120"/>
      <w:outlineLvl w:val="3"/>
    </w:pPr>
    <w:rPr>
      <w:rFonts w:ascii="Palatino" w:hAnsi="Palatino"/>
      <w:i/>
      <w:szCs w:val="20"/>
    </w:rPr>
  </w:style>
  <w:style w:type="paragraph" w:styleId="Heading5">
    <w:name w:val="heading 5"/>
    <w:basedOn w:val="Normal"/>
    <w:next w:val="BodyText"/>
    <w:link w:val="Heading5Char"/>
    <w:uiPriority w:val="99"/>
    <w:qFormat/>
    <w:rsid w:val="00365F7A"/>
    <w:pPr>
      <w:keepNext/>
      <w:spacing w:after="120"/>
      <w:outlineLvl w:val="4"/>
    </w:pPr>
    <w:rPr>
      <w:rFonts w:ascii="Palatino" w:hAnsi="Palatino"/>
      <w:szCs w:val="20"/>
      <w:u w:val="single"/>
    </w:rPr>
  </w:style>
  <w:style w:type="paragraph" w:styleId="Heading6">
    <w:name w:val="heading 6"/>
    <w:basedOn w:val="Normal"/>
    <w:next w:val="BodyText"/>
    <w:link w:val="Heading6Char"/>
    <w:uiPriority w:val="99"/>
    <w:qFormat/>
    <w:rsid w:val="00365F7A"/>
    <w:pPr>
      <w:keepNext/>
      <w:spacing w:after="120"/>
      <w:outlineLvl w:val="5"/>
    </w:pPr>
    <w:rPr>
      <w:rFonts w:ascii="Palatino" w:hAnsi="Palatino"/>
      <w:szCs w:val="20"/>
    </w:rPr>
  </w:style>
  <w:style w:type="paragraph" w:styleId="Heading7">
    <w:name w:val="heading 7"/>
    <w:basedOn w:val="Normal"/>
    <w:next w:val="BodyText"/>
    <w:link w:val="Heading7Char"/>
    <w:uiPriority w:val="99"/>
    <w:qFormat/>
    <w:rsid w:val="00365F7A"/>
    <w:pPr>
      <w:keepNext/>
      <w:spacing w:after="120"/>
      <w:outlineLvl w:val="6"/>
    </w:pPr>
    <w:rPr>
      <w:rFonts w:ascii="Palatino" w:hAnsi="Palatino"/>
      <w:szCs w:val="20"/>
    </w:rPr>
  </w:style>
  <w:style w:type="paragraph" w:styleId="Heading8">
    <w:name w:val="heading 8"/>
    <w:basedOn w:val="Normal"/>
    <w:next w:val="BodyText"/>
    <w:link w:val="Heading8Char"/>
    <w:uiPriority w:val="99"/>
    <w:qFormat/>
    <w:rsid w:val="00365F7A"/>
    <w:pPr>
      <w:keepNext/>
      <w:spacing w:after="120"/>
      <w:outlineLvl w:val="7"/>
    </w:pPr>
    <w:rPr>
      <w:rFonts w:ascii="Palatino" w:hAnsi="Palatino"/>
      <w:szCs w:val="20"/>
    </w:rPr>
  </w:style>
  <w:style w:type="paragraph" w:styleId="Heading9">
    <w:name w:val="heading 9"/>
    <w:basedOn w:val="Normal"/>
    <w:next w:val="BodyText"/>
    <w:link w:val="Heading9Char"/>
    <w:uiPriority w:val="99"/>
    <w:qFormat/>
    <w:rsid w:val="00365F7A"/>
    <w:pPr>
      <w:keepNext/>
      <w:spacing w:after="120"/>
      <w:outlineLvl w:val="8"/>
    </w:pPr>
    <w:rPr>
      <w:rFonts w:ascii="Palatino" w:hAnsi="Palatin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65F7A"/>
    <w:pPr>
      <w:spacing w:after="240"/>
    </w:pPr>
    <w:rPr>
      <w:rFonts w:ascii="Palatino" w:hAnsi="Palatino"/>
      <w:szCs w:val="20"/>
    </w:rPr>
  </w:style>
  <w:style w:type="character" w:customStyle="1" w:styleId="BodyTextChar">
    <w:name w:val="Body Text Char"/>
    <w:basedOn w:val="DefaultParagraphFont"/>
    <w:link w:val="BodyText"/>
    <w:uiPriority w:val="99"/>
    <w:rsid w:val="0063576F"/>
    <w:rPr>
      <w:rFonts w:ascii="Arial" w:hAnsi="Arial" w:cs="Arial"/>
      <w:sz w:val="24"/>
      <w:szCs w:val="24"/>
    </w:rPr>
  </w:style>
  <w:style w:type="character" w:customStyle="1" w:styleId="Heading1Char">
    <w:name w:val="Heading 1 Char"/>
    <w:basedOn w:val="DefaultParagraphFont"/>
    <w:link w:val="Heading1"/>
    <w:uiPriority w:val="99"/>
    <w:rsid w:val="0063576F"/>
    <w:rPr>
      <w:rFonts w:ascii="Palatino" w:hAnsi="Palatino" w:cs="Arial"/>
      <w:b/>
      <w:caps/>
      <w:sz w:val="24"/>
      <w:szCs w:val="20"/>
    </w:rPr>
  </w:style>
  <w:style w:type="character" w:customStyle="1" w:styleId="Heading2Char">
    <w:name w:val="Heading 2 Char"/>
    <w:basedOn w:val="DefaultParagraphFont"/>
    <w:link w:val="Heading2"/>
    <w:uiPriority w:val="99"/>
    <w:rsid w:val="0063576F"/>
    <w:rPr>
      <w:rFonts w:ascii="Palatino" w:hAnsi="Palatino" w:cs="Arial"/>
      <w:b/>
      <w:sz w:val="24"/>
      <w:szCs w:val="20"/>
    </w:rPr>
  </w:style>
  <w:style w:type="character" w:customStyle="1" w:styleId="Heading3Char">
    <w:name w:val="Heading 3 Char"/>
    <w:basedOn w:val="DefaultParagraphFont"/>
    <w:link w:val="Heading3"/>
    <w:uiPriority w:val="99"/>
    <w:rsid w:val="0063576F"/>
    <w:rPr>
      <w:rFonts w:ascii="Palatino" w:hAnsi="Palatino" w:cs="Arial"/>
      <w:b/>
      <w:i/>
      <w:sz w:val="24"/>
      <w:szCs w:val="20"/>
    </w:rPr>
  </w:style>
  <w:style w:type="character" w:customStyle="1" w:styleId="Heading4Char">
    <w:name w:val="Heading 4 Char"/>
    <w:basedOn w:val="DefaultParagraphFont"/>
    <w:link w:val="Heading4"/>
    <w:uiPriority w:val="99"/>
    <w:rsid w:val="0063576F"/>
    <w:rPr>
      <w:rFonts w:ascii="Palatino" w:hAnsi="Palatino" w:cs="Arial"/>
      <w:i/>
      <w:sz w:val="24"/>
      <w:szCs w:val="20"/>
    </w:rPr>
  </w:style>
  <w:style w:type="character" w:customStyle="1" w:styleId="Heading5Char">
    <w:name w:val="Heading 5 Char"/>
    <w:basedOn w:val="DefaultParagraphFont"/>
    <w:link w:val="Heading5"/>
    <w:uiPriority w:val="99"/>
    <w:rsid w:val="0063576F"/>
    <w:rPr>
      <w:rFonts w:ascii="Palatino" w:hAnsi="Palatino" w:cs="Arial"/>
      <w:sz w:val="24"/>
      <w:szCs w:val="20"/>
      <w:u w:val="single"/>
    </w:rPr>
  </w:style>
  <w:style w:type="character" w:customStyle="1" w:styleId="Heading6Char">
    <w:name w:val="Heading 6 Char"/>
    <w:basedOn w:val="DefaultParagraphFont"/>
    <w:link w:val="Heading6"/>
    <w:uiPriority w:val="99"/>
    <w:rsid w:val="0063576F"/>
    <w:rPr>
      <w:rFonts w:ascii="Palatino" w:hAnsi="Palatino" w:cs="Arial"/>
      <w:sz w:val="24"/>
      <w:szCs w:val="20"/>
    </w:rPr>
  </w:style>
  <w:style w:type="character" w:customStyle="1" w:styleId="Heading7Char">
    <w:name w:val="Heading 7 Char"/>
    <w:basedOn w:val="DefaultParagraphFont"/>
    <w:link w:val="Heading7"/>
    <w:uiPriority w:val="99"/>
    <w:rsid w:val="0063576F"/>
    <w:rPr>
      <w:rFonts w:ascii="Palatino" w:hAnsi="Palatino" w:cs="Arial"/>
      <w:sz w:val="24"/>
      <w:szCs w:val="20"/>
    </w:rPr>
  </w:style>
  <w:style w:type="character" w:customStyle="1" w:styleId="Heading8Char">
    <w:name w:val="Heading 8 Char"/>
    <w:basedOn w:val="DefaultParagraphFont"/>
    <w:link w:val="Heading8"/>
    <w:uiPriority w:val="99"/>
    <w:rsid w:val="0063576F"/>
    <w:rPr>
      <w:rFonts w:ascii="Palatino" w:hAnsi="Palatino" w:cs="Arial"/>
      <w:sz w:val="24"/>
      <w:szCs w:val="20"/>
    </w:rPr>
  </w:style>
  <w:style w:type="character" w:customStyle="1" w:styleId="Heading9Char">
    <w:name w:val="Heading 9 Char"/>
    <w:basedOn w:val="DefaultParagraphFont"/>
    <w:link w:val="Heading9"/>
    <w:uiPriority w:val="99"/>
    <w:rsid w:val="0063576F"/>
    <w:rPr>
      <w:rFonts w:ascii="Palatino" w:hAnsi="Palatino" w:cs="Arial"/>
      <w:sz w:val="24"/>
      <w:szCs w:val="20"/>
    </w:rPr>
  </w:style>
  <w:style w:type="paragraph" w:customStyle="1" w:styleId="Subject">
    <w:name w:val="Subject"/>
    <w:basedOn w:val="Heading1"/>
    <w:next w:val="Normal"/>
    <w:uiPriority w:val="99"/>
    <w:rsid w:val="00365F7A"/>
    <w:rPr>
      <w:sz w:val="22"/>
    </w:rPr>
  </w:style>
  <w:style w:type="paragraph" w:styleId="ListBullet">
    <w:name w:val="List Bullet"/>
    <w:basedOn w:val="Normal"/>
    <w:uiPriority w:val="99"/>
    <w:rsid w:val="00365F7A"/>
    <w:pPr>
      <w:tabs>
        <w:tab w:val="num" w:pos="360"/>
      </w:tabs>
      <w:spacing w:after="120"/>
      <w:ind w:left="357" w:hanging="357"/>
    </w:pPr>
    <w:rPr>
      <w:rFonts w:ascii="Palatino" w:hAnsi="Palatino"/>
      <w:szCs w:val="20"/>
    </w:rPr>
  </w:style>
  <w:style w:type="paragraph" w:styleId="ListNumber">
    <w:name w:val="List Number"/>
    <w:basedOn w:val="Normal"/>
    <w:uiPriority w:val="99"/>
    <w:rsid w:val="00365F7A"/>
    <w:pPr>
      <w:numPr>
        <w:numId w:val="1"/>
      </w:numPr>
      <w:spacing w:after="120"/>
      <w:ind w:left="357" w:hanging="357"/>
    </w:pPr>
    <w:rPr>
      <w:rFonts w:ascii="Palatino" w:hAnsi="Palatino"/>
      <w:szCs w:val="20"/>
    </w:rPr>
  </w:style>
  <w:style w:type="paragraph" w:customStyle="1" w:styleId="Style1">
    <w:name w:val="Style1"/>
    <w:basedOn w:val="BodyText"/>
    <w:uiPriority w:val="99"/>
    <w:rsid w:val="00CE3005"/>
    <w:rPr>
      <w:rFonts w:ascii="Arial" w:hAnsi="Arial"/>
      <w:szCs w:val="24"/>
    </w:rPr>
  </w:style>
  <w:style w:type="paragraph" w:customStyle="1" w:styleId="Style2">
    <w:name w:val="Style2"/>
    <w:basedOn w:val="BodyText"/>
    <w:uiPriority w:val="99"/>
    <w:rsid w:val="007C0D4A"/>
    <w:rPr>
      <w:rFonts w:ascii="Arial" w:hAnsi="Arial"/>
      <w:szCs w:val="24"/>
    </w:rPr>
  </w:style>
  <w:style w:type="paragraph" w:styleId="Title">
    <w:name w:val="Title"/>
    <w:basedOn w:val="Normal"/>
    <w:link w:val="TitleChar"/>
    <w:uiPriority w:val="99"/>
    <w:qFormat/>
    <w:rsid w:val="006A569E"/>
    <w:pPr>
      <w:jc w:val="center"/>
    </w:pPr>
    <w:rPr>
      <w:b/>
      <w:bCs/>
    </w:rPr>
  </w:style>
  <w:style w:type="character" w:customStyle="1" w:styleId="TitleChar">
    <w:name w:val="Title Char"/>
    <w:basedOn w:val="DefaultParagraphFont"/>
    <w:link w:val="Title"/>
    <w:uiPriority w:val="10"/>
    <w:rsid w:val="0063576F"/>
    <w:rPr>
      <w:rFonts w:ascii="Cambria" w:eastAsia="Times New Roman" w:hAnsi="Cambria" w:cs="Times New Roman"/>
      <w:b/>
      <w:bCs/>
      <w:kern w:val="28"/>
      <w:sz w:val="32"/>
      <w:szCs w:val="32"/>
    </w:rPr>
  </w:style>
  <w:style w:type="table" w:styleId="TableGrid">
    <w:name w:val="Table Grid"/>
    <w:basedOn w:val="TableNormal"/>
    <w:uiPriority w:val="99"/>
    <w:rsid w:val="006A569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22CA9"/>
    <w:pPr>
      <w:tabs>
        <w:tab w:val="center" w:pos="4153"/>
        <w:tab w:val="right" w:pos="8306"/>
      </w:tabs>
    </w:pPr>
  </w:style>
  <w:style w:type="character" w:customStyle="1" w:styleId="FooterChar">
    <w:name w:val="Footer Char"/>
    <w:basedOn w:val="DefaultParagraphFont"/>
    <w:link w:val="Footer"/>
    <w:uiPriority w:val="99"/>
    <w:rsid w:val="0063576F"/>
    <w:rPr>
      <w:rFonts w:ascii="Arial" w:hAnsi="Arial" w:cs="Arial"/>
      <w:sz w:val="24"/>
      <w:szCs w:val="24"/>
    </w:rPr>
  </w:style>
  <w:style w:type="character" w:styleId="PageNumber">
    <w:name w:val="page number"/>
    <w:basedOn w:val="DefaultParagraphFont"/>
    <w:uiPriority w:val="99"/>
    <w:rsid w:val="00A22CA9"/>
    <w:rPr>
      <w:rFonts w:cs="Times New Roman"/>
    </w:rPr>
  </w:style>
  <w:style w:type="paragraph" w:styleId="Header">
    <w:name w:val="header"/>
    <w:basedOn w:val="Normal"/>
    <w:link w:val="HeaderChar"/>
    <w:uiPriority w:val="99"/>
    <w:rsid w:val="004D2AD9"/>
    <w:pPr>
      <w:tabs>
        <w:tab w:val="center" w:pos="4153"/>
        <w:tab w:val="right" w:pos="8306"/>
      </w:tabs>
    </w:pPr>
  </w:style>
  <w:style w:type="character" w:customStyle="1" w:styleId="HeaderChar">
    <w:name w:val="Header Char"/>
    <w:basedOn w:val="DefaultParagraphFont"/>
    <w:link w:val="Header"/>
    <w:uiPriority w:val="99"/>
    <w:rsid w:val="0063576F"/>
    <w:rPr>
      <w:rFonts w:ascii="Arial" w:hAnsi="Arial" w:cs="Arial"/>
      <w:sz w:val="24"/>
      <w:szCs w:val="24"/>
    </w:rPr>
  </w:style>
  <w:style w:type="paragraph" w:styleId="NormalWeb">
    <w:name w:val="Normal (Web)"/>
    <w:basedOn w:val="Normal"/>
    <w:uiPriority w:val="99"/>
    <w:rsid w:val="00665738"/>
    <w:pPr>
      <w:spacing w:before="100" w:beforeAutospacing="1" w:after="100" w:afterAutospacing="1"/>
    </w:pPr>
    <w:rPr>
      <w:rFonts w:ascii="Times New Roman" w:hAnsi="Times New Roman" w:cs="Times New Roman"/>
    </w:rPr>
  </w:style>
  <w:style w:type="character" w:customStyle="1" w:styleId="reporttitle1">
    <w:name w:val="reporttitle1"/>
    <w:basedOn w:val="DefaultParagraphFont"/>
    <w:uiPriority w:val="99"/>
    <w:rsid w:val="00665738"/>
    <w:rPr>
      <w:rFonts w:cs="Times New Roman"/>
      <w:b/>
      <w:bCs/>
      <w:sz w:val="24"/>
      <w:szCs w:val="24"/>
      <w:u w:val="single"/>
    </w:rPr>
  </w:style>
  <w:style w:type="character" w:styleId="Hyperlink">
    <w:name w:val="Hyperlink"/>
    <w:basedOn w:val="DefaultParagraphFont"/>
    <w:uiPriority w:val="99"/>
    <w:rsid w:val="002D47D3"/>
    <w:rPr>
      <w:rFonts w:cs="Times New Roman"/>
      <w:color w:val="0000FF"/>
      <w:u w:val="none"/>
      <w:effect w:val="none"/>
    </w:rPr>
  </w:style>
  <w:style w:type="paragraph" w:styleId="BalloonText">
    <w:name w:val="Balloon Text"/>
    <w:basedOn w:val="Normal"/>
    <w:link w:val="BalloonTextChar"/>
    <w:uiPriority w:val="99"/>
    <w:semiHidden/>
    <w:rsid w:val="00C8082B"/>
    <w:rPr>
      <w:rFonts w:ascii="Tahoma" w:hAnsi="Tahoma" w:cs="Tahoma"/>
      <w:sz w:val="16"/>
      <w:szCs w:val="16"/>
    </w:rPr>
  </w:style>
  <w:style w:type="character" w:customStyle="1" w:styleId="BalloonTextChar">
    <w:name w:val="Balloon Text Char"/>
    <w:basedOn w:val="DefaultParagraphFont"/>
    <w:link w:val="BalloonText"/>
    <w:uiPriority w:val="99"/>
    <w:semiHidden/>
    <w:rsid w:val="0063576F"/>
    <w:rPr>
      <w:rFonts w:cs="Arial"/>
      <w:sz w:val="0"/>
      <w:szCs w:val="0"/>
    </w:rPr>
  </w:style>
  <w:style w:type="character" w:styleId="FollowedHyperlink">
    <w:name w:val="FollowedHyperlink"/>
    <w:basedOn w:val="DefaultParagraphFont"/>
    <w:uiPriority w:val="99"/>
    <w:rsid w:val="009A656F"/>
    <w:rPr>
      <w:rFonts w:cs="Times New Roman"/>
      <w:color w:val="800080"/>
      <w:u w:val="single"/>
    </w:rPr>
  </w:style>
  <w:style w:type="paragraph" w:styleId="ListParagraph">
    <w:name w:val="List Paragraph"/>
    <w:basedOn w:val="Normal"/>
    <w:uiPriority w:val="34"/>
    <w:qFormat/>
    <w:rsid w:val="00C339FB"/>
    <w:pPr>
      <w:spacing w:after="200" w:line="276" w:lineRule="auto"/>
      <w:ind w:left="720"/>
      <w:contextualSpacing/>
    </w:pPr>
    <w:rPr>
      <w:rFonts w:ascii="Calibri" w:hAnsi="Calibri" w:cs="Times New Roman"/>
      <w:sz w:val="22"/>
      <w:szCs w:val="22"/>
      <w:lang w:val="en-US" w:eastAsia="en-US" w:bidi="en-US"/>
    </w:rPr>
  </w:style>
  <w:style w:type="character" w:styleId="Strong">
    <w:name w:val="Strong"/>
    <w:basedOn w:val="DefaultParagraphFont"/>
    <w:uiPriority w:val="22"/>
    <w:qFormat/>
    <w:locked/>
    <w:rsid w:val="006164C2"/>
    <w:rPr>
      <w:b/>
      <w:bCs/>
    </w:rPr>
  </w:style>
  <w:style w:type="character" w:styleId="CommentReference">
    <w:name w:val="annotation reference"/>
    <w:basedOn w:val="DefaultParagraphFont"/>
    <w:uiPriority w:val="99"/>
    <w:semiHidden/>
    <w:unhideWhenUsed/>
    <w:rsid w:val="00FC127E"/>
    <w:rPr>
      <w:sz w:val="16"/>
      <w:szCs w:val="16"/>
    </w:rPr>
  </w:style>
  <w:style w:type="paragraph" w:styleId="CommentText">
    <w:name w:val="annotation text"/>
    <w:basedOn w:val="Normal"/>
    <w:link w:val="CommentTextChar"/>
    <w:uiPriority w:val="99"/>
    <w:semiHidden/>
    <w:unhideWhenUsed/>
    <w:rsid w:val="00FC127E"/>
    <w:rPr>
      <w:sz w:val="20"/>
      <w:szCs w:val="20"/>
    </w:rPr>
  </w:style>
  <w:style w:type="character" w:customStyle="1" w:styleId="CommentTextChar">
    <w:name w:val="Comment Text Char"/>
    <w:basedOn w:val="DefaultParagraphFont"/>
    <w:link w:val="CommentText"/>
    <w:uiPriority w:val="99"/>
    <w:semiHidden/>
    <w:rsid w:val="00FC127E"/>
    <w:rPr>
      <w:rFonts w:ascii="Arial" w:hAnsi="Arial" w:cs="Arial"/>
    </w:rPr>
  </w:style>
  <w:style w:type="paragraph" w:styleId="CommentSubject">
    <w:name w:val="annotation subject"/>
    <w:basedOn w:val="CommentText"/>
    <w:next w:val="CommentText"/>
    <w:link w:val="CommentSubjectChar"/>
    <w:uiPriority w:val="99"/>
    <w:semiHidden/>
    <w:unhideWhenUsed/>
    <w:rsid w:val="00FC127E"/>
    <w:rPr>
      <w:b/>
      <w:bCs/>
    </w:rPr>
  </w:style>
  <w:style w:type="character" w:customStyle="1" w:styleId="CommentSubjectChar">
    <w:name w:val="Comment Subject Char"/>
    <w:basedOn w:val="CommentTextChar"/>
    <w:link w:val="CommentSubject"/>
    <w:uiPriority w:val="99"/>
    <w:semiHidden/>
    <w:rsid w:val="00FC127E"/>
    <w:rPr>
      <w:rFonts w:ascii="Arial" w:hAnsi="Arial" w:cs="Arial"/>
      <w:b/>
      <w:bCs/>
    </w:rPr>
  </w:style>
  <w:style w:type="character" w:customStyle="1" w:styleId="A1">
    <w:name w:val="A1"/>
    <w:uiPriority w:val="99"/>
    <w:rsid w:val="005B6361"/>
    <w:rPr>
      <w:rFonts w:cs="Helvetica 45 Light"/>
      <w:color w:val="000000"/>
      <w:sz w:val="20"/>
      <w:szCs w:val="20"/>
    </w:rPr>
  </w:style>
  <w:style w:type="character" w:styleId="Emphasis">
    <w:name w:val="Emphasis"/>
    <w:basedOn w:val="DefaultParagraphFont"/>
    <w:uiPriority w:val="20"/>
    <w:qFormat/>
    <w:locked/>
    <w:rsid w:val="00C738EE"/>
    <w:rPr>
      <w:i/>
      <w:iCs/>
    </w:rPr>
  </w:style>
  <w:style w:type="paragraph" w:customStyle="1" w:styleId="Default">
    <w:name w:val="Default"/>
    <w:rsid w:val="00BD273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C0D37"/>
    <w:rPr>
      <w:rFonts w:ascii="Arial" w:hAnsi="Arial" w:cs="Arial"/>
      <w:sz w:val="24"/>
      <w:szCs w:val="24"/>
    </w:rPr>
  </w:style>
  <w:style w:type="paragraph" w:styleId="Caption">
    <w:name w:val="caption"/>
    <w:basedOn w:val="Normal"/>
    <w:next w:val="Normal"/>
    <w:unhideWhenUsed/>
    <w:qFormat/>
    <w:locked/>
    <w:rsid w:val="00CD5523"/>
    <w:pPr>
      <w:spacing w:after="200"/>
    </w:pPr>
    <w:rPr>
      <w:i/>
      <w:iCs/>
      <w:color w:val="1F497D" w:themeColor="text2"/>
      <w:sz w:val="18"/>
      <w:szCs w:val="18"/>
    </w:rPr>
  </w:style>
  <w:style w:type="paragraph" w:styleId="NoSpacing">
    <w:name w:val="No Spacing"/>
    <w:uiPriority w:val="1"/>
    <w:qFormat/>
    <w:rsid w:val="00265C91"/>
    <w:rPr>
      <w:rFonts w:ascii="Arial" w:hAnsi="Arial" w:cs="Arial"/>
      <w:sz w:val="24"/>
      <w:szCs w:val="24"/>
    </w:rPr>
  </w:style>
  <w:style w:type="character" w:customStyle="1" w:styleId="ms-rteforecolor-2">
    <w:name w:val="ms-rteforecolor-2"/>
    <w:basedOn w:val="DefaultParagraphFont"/>
    <w:rsid w:val="00CA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0792">
      <w:bodyDiv w:val="1"/>
      <w:marLeft w:val="0"/>
      <w:marRight w:val="0"/>
      <w:marTop w:val="0"/>
      <w:marBottom w:val="0"/>
      <w:divBdr>
        <w:top w:val="none" w:sz="0" w:space="0" w:color="auto"/>
        <w:left w:val="none" w:sz="0" w:space="0" w:color="auto"/>
        <w:bottom w:val="none" w:sz="0" w:space="0" w:color="auto"/>
        <w:right w:val="none" w:sz="0" w:space="0" w:color="auto"/>
      </w:divBdr>
    </w:div>
    <w:div w:id="138307379">
      <w:bodyDiv w:val="1"/>
      <w:marLeft w:val="0"/>
      <w:marRight w:val="0"/>
      <w:marTop w:val="0"/>
      <w:marBottom w:val="0"/>
      <w:divBdr>
        <w:top w:val="none" w:sz="0" w:space="0" w:color="auto"/>
        <w:left w:val="none" w:sz="0" w:space="0" w:color="auto"/>
        <w:bottom w:val="none" w:sz="0" w:space="0" w:color="auto"/>
        <w:right w:val="none" w:sz="0" w:space="0" w:color="auto"/>
      </w:divBdr>
    </w:div>
    <w:div w:id="206769875">
      <w:bodyDiv w:val="1"/>
      <w:marLeft w:val="0"/>
      <w:marRight w:val="0"/>
      <w:marTop w:val="0"/>
      <w:marBottom w:val="0"/>
      <w:divBdr>
        <w:top w:val="none" w:sz="0" w:space="0" w:color="auto"/>
        <w:left w:val="none" w:sz="0" w:space="0" w:color="auto"/>
        <w:bottom w:val="none" w:sz="0" w:space="0" w:color="auto"/>
        <w:right w:val="none" w:sz="0" w:space="0" w:color="auto"/>
      </w:divBdr>
    </w:div>
    <w:div w:id="213660078">
      <w:bodyDiv w:val="1"/>
      <w:marLeft w:val="0"/>
      <w:marRight w:val="0"/>
      <w:marTop w:val="0"/>
      <w:marBottom w:val="0"/>
      <w:divBdr>
        <w:top w:val="none" w:sz="0" w:space="0" w:color="auto"/>
        <w:left w:val="none" w:sz="0" w:space="0" w:color="auto"/>
        <w:bottom w:val="none" w:sz="0" w:space="0" w:color="auto"/>
        <w:right w:val="none" w:sz="0" w:space="0" w:color="auto"/>
      </w:divBdr>
    </w:div>
    <w:div w:id="227544074">
      <w:bodyDiv w:val="1"/>
      <w:marLeft w:val="0"/>
      <w:marRight w:val="0"/>
      <w:marTop w:val="0"/>
      <w:marBottom w:val="0"/>
      <w:divBdr>
        <w:top w:val="none" w:sz="0" w:space="0" w:color="auto"/>
        <w:left w:val="none" w:sz="0" w:space="0" w:color="auto"/>
        <w:bottom w:val="none" w:sz="0" w:space="0" w:color="auto"/>
        <w:right w:val="none" w:sz="0" w:space="0" w:color="auto"/>
      </w:divBdr>
    </w:div>
    <w:div w:id="228004496">
      <w:bodyDiv w:val="1"/>
      <w:marLeft w:val="0"/>
      <w:marRight w:val="0"/>
      <w:marTop w:val="0"/>
      <w:marBottom w:val="0"/>
      <w:divBdr>
        <w:top w:val="none" w:sz="0" w:space="0" w:color="auto"/>
        <w:left w:val="none" w:sz="0" w:space="0" w:color="auto"/>
        <w:bottom w:val="none" w:sz="0" w:space="0" w:color="auto"/>
        <w:right w:val="none" w:sz="0" w:space="0" w:color="auto"/>
      </w:divBdr>
      <w:divsChild>
        <w:div w:id="2027244162">
          <w:marLeft w:val="0"/>
          <w:marRight w:val="0"/>
          <w:marTop w:val="0"/>
          <w:marBottom w:val="0"/>
          <w:divBdr>
            <w:top w:val="none" w:sz="0" w:space="0" w:color="auto"/>
            <w:left w:val="none" w:sz="0" w:space="0" w:color="auto"/>
            <w:bottom w:val="none" w:sz="0" w:space="0" w:color="auto"/>
            <w:right w:val="none" w:sz="0" w:space="0" w:color="auto"/>
          </w:divBdr>
          <w:divsChild>
            <w:div w:id="627973332">
              <w:marLeft w:val="0"/>
              <w:marRight w:val="0"/>
              <w:marTop w:val="0"/>
              <w:marBottom w:val="0"/>
              <w:divBdr>
                <w:top w:val="none" w:sz="0" w:space="0" w:color="auto"/>
                <w:left w:val="none" w:sz="0" w:space="0" w:color="auto"/>
                <w:bottom w:val="none" w:sz="0" w:space="0" w:color="auto"/>
                <w:right w:val="none" w:sz="0" w:space="0" w:color="auto"/>
              </w:divBdr>
              <w:divsChild>
                <w:div w:id="1071151597">
                  <w:marLeft w:val="0"/>
                  <w:marRight w:val="0"/>
                  <w:marTop w:val="0"/>
                  <w:marBottom w:val="0"/>
                  <w:divBdr>
                    <w:top w:val="none" w:sz="0" w:space="0" w:color="auto"/>
                    <w:left w:val="none" w:sz="0" w:space="0" w:color="auto"/>
                    <w:bottom w:val="none" w:sz="0" w:space="0" w:color="auto"/>
                    <w:right w:val="none" w:sz="0" w:space="0" w:color="auto"/>
                  </w:divBdr>
                  <w:divsChild>
                    <w:div w:id="1087968736">
                      <w:marLeft w:val="0"/>
                      <w:marRight w:val="0"/>
                      <w:marTop w:val="0"/>
                      <w:marBottom w:val="0"/>
                      <w:divBdr>
                        <w:top w:val="none" w:sz="0" w:space="0" w:color="auto"/>
                        <w:left w:val="none" w:sz="0" w:space="0" w:color="auto"/>
                        <w:bottom w:val="none" w:sz="0" w:space="0" w:color="auto"/>
                        <w:right w:val="none" w:sz="0" w:space="0" w:color="auto"/>
                      </w:divBdr>
                      <w:divsChild>
                        <w:div w:id="1522476637">
                          <w:marLeft w:val="0"/>
                          <w:marRight w:val="0"/>
                          <w:marTop w:val="0"/>
                          <w:marBottom w:val="0"/>
                          <w:divBdr>
                            <w:top w:val="none" w:sz="0" w:space="0" w:color="auto"/>
                            <w:left w:val="none" w:sz="0" w:space="0" w:color="auto"/>
                            <w:bottom w:val="none" w:sz="0" w:space="0" w:color="auto"/>
                            <w:right w:val="none" w:sz="0" w:space="0" w:color="auto"/>
                          </w:divBdr>
                          <w:divsChild>
                            <w:div w:id="4510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285732">
      <w:bodyDiv w:val="1"/>
      <w:marLeft w:val="0"/>
      <w:marRight w:val="0"/>
      <w:marTop w:val="0"/>
      <w:marBottom w:val="0"/>
      <w:divBdr>
        <w:top w:val="none" w:sz="0" w:space="0" w:color="auto"/>
        <w:left w:val="none" w:sz="0" w:space="0" w:color="auto"/>
        <w:bottom w:val="none" w:sz="0" w:space="0" w:color="auto"/>
        <w:right w:val="none" w:sz="0" w:space="0" w:color="auto"/>
      </w:divBdr>
    </w:div>
    <w:div w:id="282157760">
      <w:bodyDiv w:val="1"/>
      <w:marLeft w:val="0"/>
      <w:marRight w:val="0"/>
      <w:marTop w:val="0"/>
      <w:marBottom w:val="0"/>
      <w:divBdr>
        <w:top w:val="none" w:sz="0" w:space="0" w:color="auto"/>
        <w:left w:val="none" w:sz="0" w:space="0" w:color="auto"/>
        <w:bottom w:val="none" w:sz="0" w:space="0" w:color="auto"/>
        <w:right w:val="none" w:sz="0" w:space="0" w:color="auto"/>
      </w:divBdr>
    </w:div>
    <w:div w:id="295255128">
      <w:bodyDiv w:val="1"/>
      <w:marLeft w:val="0"/>
      <w:marRight w:val="0"/>
      <w:marTop w:val="0"/>
      <w:marBottom w:val="0"/>
      <w:divBdr>
        <w:top w:val="none" w:sz="0" w:space="0" w:color="auto"/>
        <w:left w:val="none" w:sz="0" w:space="0" w:color="auto"/>
        <w:bottom w:val="none" w:sz="0" w:space="0" w:color="auto"/>
        <w:right w:val="none" w:sz="0" w:space="0" w:color="auto"/>
      </w:divBdr>
    </w:div>
    <w:div w:id="296033165">
      <w:bodyDiv w:val="1"/>
      <w:marLeft w:val="0"/>
      <w:marRight w:val="0"/>
      <w:marTop w:val="0"/>
      <w:marBottom w:val="0"/>
      <w:divBdr>
        <w:top w:val="none" w:sz="0" w:space="0" w:color="auto"/>
        <w:left w:val="none" w:sz="0" w:space="0" w:color="auto"/>
        <w:bottom w:val="none" w:sz="0" w:space="0" w:color="auto"/>
        <w:right w:val="none" w:sz="0" w:space="0" w:color="auto"/>
      </w:divBdr>
    </w:div>
    <w:div w:id="306446741">
      <w:bodyDiv w:val="1"/>
      <w:marLeft w:val="0"/>
      <w:marRight w:val="0"/>
      <w:marTop w:val="0"/>
      <w:marBottom w:val="0"/>
      <w:divBdr>
        <w:top w:val="none" w:sz="0" w:space="0" w:color="auto"/>
        <w:left w:val="none" w:sz="0" w:space="0" w:color="auto"/>
        <w:bottom w:val="none" w:sz="0" w:space="0" w:color="auto"/>
        <w:right w:val="none" w:sz="0" w:space="0" w:color="auto"/>
      </w:divBdr>
    </w:div>
    <w:div w:id="311062473">
      <w:bodyDiv w:val="1"/>
      <w:marLeft w:val="0"/>
      <w:marRight w:val="0"/>
      <w:marTop w:val="0"/>
      <w:marBottom w:val="0"/>
      <w:divBdr>
        <w:top w:val="none" w:sz="0" w:space="0" w:color="auto"/>
        <w:left w:val="none" w:sz="0" w:space="0" w:color="auto"/>
        <w:bottom w:val="none" w:sz="0" w:space="0" w:color="auto"/>
        <w:right w:val="none" w:sz="0" w:space="0" w:color="auto"/>
      </w:divBdr>
    </w:div>
    <w:div w:id="315568636">
      <w:bodyDiv w:val="1"/>
      <w:marLeft w:val="0"/>
      <w:marRight w:val="0"/>
      <w:marTop w:val="0"/>
      <w:marBottom w:val="0"/>
      <w:divBdr>
        <w:top w:val="none" w:sz="0" w:space="0" w:color="auto"/>
        <w:left w:val="none" w:sz="0" w:space="0" w:color="auto"/>
        <w:bottom w:val="none" w:sz="0" w:space="0" w:color="auto"/>
        <w:right w:val="none" w:sz="0" w:space="0" w:color="auto"/>
      </w:divBdr>
    </w:div>
    <w:div w:id="325789991">
      <w:bodyDiv w:val="1"/>
      <w:marLeft w:val="0"/>
      <w:marRight w:val="0"/>
      <w:marTop w:val="0"/>
      <w:marBottom w:val="0"/>
      <w:divBdr>
        <w:top w:val="none" w:sz="0" w:space="0" w:color="auto"/>
        <w:left w:val="none" w:sz="0" w:space="0" w:color="auto"/>
        <w:bottom w:val="none" w:sz="0" w:space="0" w:color="auto"/>
        <w:right w:val="none" w:sz="0" w:space="0" w:color="auto"/>
      </w:divBdr>
    </w:div>
    <w:div w:id="340739462">
      <w:bodyDiv w:val="1"/>
      <w:marLeft w:val="0"/>
      <w:marRight w:val="0"/>
      <w:marTop w:val="0"/>
      <w:marBottom w:val="0"/>
      <w:divBdr>
        <w:top w:val="none" w:sz="0" w:space="0" w:color="auto"/>
        <w:left w:val="none" w:sz="0" w:space="0" w:color="auto"/>
        <w:bottom w:val="none" w:sz="0" w:space="0" w:color="auto"/>
        <w:right w:val="none" w:sz="0" w:space="0" w:color="auto"/>
      </w:divBdr>
    </w:div>
    <w:div w:id="362948322">
      <w:bodyDiv w:val="1"/>
      <w:marLeft w:val="0"/>
      <w:marRight w:val="0"/>
      <w:marTop w:val="0"/>
      <w:marBottom w:val="0"/>
      <w:divBdr>
        <w:top w:val="none" w:sz="0" w:space="0" w:color="auto"/>
        <w:left w:val="none" w:sz="0" w:space="0" w:color="auto"/>
        <w:bottom w:val="none" w:sz="0" w:space="0" w:color="auto"/>
        <w:right w:val="none" w:sz="0" w:space="0" w:color="auto"/>
      </w:divBdr>
    </w:div>
    <w:div w:id="364907474">
      <w:bodyDiv w:val="1"/>
      <w:marLeft w:val="0"/>
      <w:marRight w:val="0"/>
      <w:marTop w:val="0"/>
      <w:marBottom w:val="0"/>
      <w:divBdr>
        <w:top w:val="none" w:sz="0" w:space="0" w:color="auto"/>
        <w:left w:val="none" w:sz="0" w:space="0" w:color="auto"/>
        <w:bottom w:val="none" w:sz="0" w:space="0" w:color="auto"/>
        <w:right w:val="none" w:sz="0" w:space="0" w:color="auto"/>
      </w:divBdr>
    </w:div>
    <w:div w:id="373778755">
      <w:bodyDiv w:val="1"/>
      <w:marLeft w:val="0"/>
      <w:marRight w:val="0"/>
      <w:marTop w:val="0"/>
      <w:marBottom w:val="0"/>
      <w:divBdr>
        <w:top w:val="none" w:sz="0" w:space="0" w:color="auto"/>
        <w:left w:val="none" w:sz="0" w:space="0" w:color="auto"/>
        <w:bottom w:val="none" w:sz="0" w:space="0" w:color="auto"/>
        <w:right w:val="none" w:sz="0" w:space="0" w:color="auto"/>
      </w:divBdr>
    </w:div>
    <w:div w:id="376467226">
      <w:bodyDiv w:val="1"/>
      <w:marLeft w:val="0"/>
      <w:marRight w:val="0"/>
      <w:marTop w:val="0"/>
      <w:marBottom w:val="0"/>
      <w:divBdr>
        <w:top w:val="none" w:sz="0" w:space="0" w:color="auto"/>
        <w:left w:val="none" w:sz="0" w:space="0" w:color="auto"/>
        <w:bottom w:val="none" w:sz="0" w:space="0" w:color="auto"/>
        <w:right w:val="none" w:sz="0" w:space="0" w:color="auto"/>
      </w:divBdr>
    </w:div>
    <w:div w:id="377973378">
      <w:bodyDiv w:val="1"/>
      <w:marLeft w:val="0"/>
      <w:marRight w:val="0"/>
      <w:marTop w:val="0"/>
      <w:marBottom w:val="0"/>
      <w:divBdr>
        <w:top w:val="none" w:sz="0" w:space="0" w:color="auto"/>
        <w:left w:val="none" w:sz="0" w:space="0" w:color="auto"/>
        <w:bottom w:val="none" w:sz="0" w:space="0" w:color="auto"/>
        <w:right w:val="none" w:sz="0" w:space="0" w:color="auto"/>
      </w:divBdr>
    </w:div>
    <w:div w:id="384721377">
      <w:bodyDiv w:val="1"/>
      <w:marLeft w:val="0"/>
      <w:marRight w:val="0"/>
      <w:marTop w:val="0"/>
      <w:marBottom w:val="0"/>
      <w:divBdr>
        <w:top w:val="none" w:sz="0" w:space="0" w:color="auto"/>
        <w:left w:val="none" w:sz="0" w:space="0" w:color="auto"/>
        <w:bottom w:val="none" w:sz="0" w:space="0" w:color="auto"/>
        <w:right w:val="none" w:sz="0" w:space="0" w:color="auto"/>
      </w:divBdr>
    </w:div>
    <w:div w:id="402601795">
      <w:bodyDiv w:val="1"/>
      <w:marLeft w:val="0"/>
      <w:marRight w:val="0"/>
      <w:marTop w:val="0"/>
      <w:marBottom w:val="0"/>
      <w:divBdr>
        <w:top w:val="none" w:sz="0" w:space="0" w:color="auto"/>
        <w:left w:val="none" w:sz="0" w:space="0" w:color="auto"/>
        <w:bottom w:val="none" w:sz="0" w:space="0" w:color="auto"/>
        <w:right w:val="none" w:sz="0" w:space="0" w:color="auto"/>
      </w:divBdr>
    </w:div>
    <w:div w:id="407456991">
      <w:bodyDiv w:val="1"/>
      <w:marLeft w:val="0"/>
      <w:marRight w:val="0"/>
      <w:marTop w:val="0"/>
      <w:marBottom w:val="0"/>
      <w:divBdr>
        <w:top w:val="none" w:sz="0" w:space="0" w:color="auto"/>
        <w:left w:val="none" w:sz="0" w:space="0" w:color="auto"/>
        <w:bottom w:val="none" w:sz="0" w:space="0" w:color="auto"/>
        <w:right w:val="none" w:sz="0" w:space="0" w:color="auto"/>
      </w:divBdr>
    </w:div>
    <w:div w:id="414013488">
      <w:bodyDiv w:val="1"/>
      <w:marLeft w:val="0"/>
      <w:marRight w:val="0"/>
      <w:marTop w:val="0"/>
      <w:marBottom w:val="0"/>
      <w:divBdr>
        <w:top w:val="none" w:sz="0" w:space="0" w:color="auto"/>
        <w:left w:val="none" w:sz="0" w:space="0" w:color="auto"/>
        <w:bottom w:val="none" w:sz="0" w:space="0" w:color="auto"/>
        <w:right w:val="none" w:sz="0" w:space="0" w:color="auto"/>
      </w:divBdr>
    </w:div>
    <w:div w:id="416246937">
      <w:bodyDiv w:val="1"/>
      <w:marLeft w:val="0"/>
      <w:marRight w:val="0"/>
      <w:marTop w:val="0"/>
      <w:marBottom w:val="0"/>
      <w:divBdr>
        <w:top w:val="none" w:sz="0" w:space="0" w:color="auto"/>
        <w:left w:val="none" w:sz="0" w:space="0" w:color="auto"/>
        <w:bottom w:val="none" w:sz="0" w:space="0" w:color="auto"/>
        <w:right w:val="none" w:sz="0" w:space="0" w:color="auto"/>
      </w:divBdr>
    </w:div>
    <w:div w:id="435753260">
      <w:bodyDiv w:val="1"/>
      <w:marLeft w:val="0"/>
      <w:marRight w:val="0"/>
      <w:marTop w:val="0"/>
      <w:marBottom w:val="0"/>
      <w:divBdr>
        <w:top w:val="none" w:sz="0" w:space="0" w:color="auto"/>
        <w:left w:val="none" w:sz="0" w:space="0" w:color="auto"/>
        <w:bottom w:val="none" w:sz="0" w:space="0" w:color="auto"/>
        <w:right w:val="none" w:sz="0" w:space="0" w:color="auto"/>
      </w:divBdr>
    </w:div>
    <w:div w:id="442655715">
      <w:bodyDiv w:val="1"/>
      <w:marLeft w:val="0"/>
      <w:marRight w:val="0"/>
      <w:marTop w:val="0"/>
      <w:marBottom w:val="0"/>
      <w:divBdr>
        <w:top w:val="none" w:sz="0" w:space="0" w:color="auto"/>
        <w:left w:val="none" w:sz="0" w:space="0" w:color="auto"/>
        <w:bottom w:val="none" w:sz="0" w:space="0" w:color="auto"/>
        <w:right w:val="none" w:sz="0" w:space="0" w:color="auto"/>
      </w:divBdr>
    </w:div>
    <w:div w:id="472869930">
      <w:bodyDiv w:val="1"/>
      <w:marLeft w:val="0"/>
      <w:marRight w:val="0"/>
      <w:marTop w:val="0"/>
      <w:marBottom w:val="0"/>
      <w:divBdr>
        <w:top w:val="none" w:sz="0" w:space="0" w:color="auto"/>
        <w:left w:val="none" w:sz="0" w:space="0" w:color="auto"/>
        <w:bottom w:val="none" w:sz="0" w:space="0" w:color="auto"/>
        <w:right w:val="none" w:sz="0" w:space="0" w:color="auto"/>
      </w:divBdr>
    </w:div>
    <w:div w:id="497115104">
      <w:bodyDiv w:val="1"/>
      <w:marLeft w:val="0"/>
      <w:marRight w:val="0"/>
      <w:marTop w:val="0"/>
      <w:marBottom w:val="0"/>
      <w:divBdr>
        <w:top w:val="none" w:sz="0" w:space="0" w:color="auto"/>
        <w:left w:val="none" w:sz="0" w:space="0" w:color="auto"/>
        <w:bottom w:val="none" w:sz="0" w:space="0" w:color="auto"/>
        <w:right w:val="none" w:sz="0" w:space="0" w:color="auto"/>
      </w:divBdr>
    </w:div>
    <w:div w:id="499154893">
      <w:bodyDiv w:val="1"/>
      <w:marLeft w:val="0"/>
      <w:marRight w:val="0"/>
      <w:marTop w:val="0"/>
      <w:marBottom w:val="0"/>
      <w:divBdr>
        <w:top w:val="none" w:sz="0" w:space="0" w:color="auto"/>
        <w:left w:val="none" w:sz="0" w:space="0" w:color="auto"/>
        <w:bottom w:val="none" w:sz="0" w:space="0" w:color="auto"/>
        <w:right w:val="none" w:sz="0" w:space="0" w:color="auto"/>
      </w:divBdr>
    </w:div>
    <w:div w:id="542524897">
      <w:bodyDiv w:val="1"/>
      <w:marLeft w:val="0"/>
      <w:marRight w:val="0"/>
      <w:marTop w:val="0"/>
      <w:marBottom w:val="0"/>
      <w:divBdr>
        <w:top w:val="none" w:sz="0" w:space="0" w:color="auto"/>
        <w:left w:val="none" w:sz="0" w:space="0" w:color="auto"/>
        <w:bottom w:val="none" w:sz="0" w:space="0" w:color="auto"/>
        <w:right w:val="none" w:sz="0" w:space="0" w:color="auto"/>
      </w:divBdr>
    </w:div>
    <w:div w:id="542791997">
      <w:bodyDiv w:val="1"/>
      <w:marLeft w:val="0"/>
      <w:marRight w:val="0"/>
      <w:marTop w:val="0"/>
      <w:marBottom w:val="0"/>
      <w:divBdr>
        <w:top w:val="none" w:sz="0" w:space="0" w:color="auto"/>
        <w:left w:val="none" w:sz="0" w:space="0" w:color="auto"/>
        <w:bottom w:val="none" w:sz="0" w:space="0" w:color="auto"/>
        <w:right w:val="none" w:sz="0" w:space="0" w:color="auto"/>
      </w:divBdr>
      <w:divsChild>
        <w:div w:id="143396632">
          <w:marLeft w:val="0"/>
          <w:marRight w:val="0"/>
          <w:marTop w:val="0"/>
          <w:marBottom w:val="0"/>
          <w:divBdr>
            <w:top w:val="none" w:sz="0" w:space="0" w:color="auto"/>
            <w:left w:val="none" w:sz="0" w:space="0" w:color="auto"/>
            <w:bottom w:val="none" w:sz="0" w:space="0" w:color="auto"/>
            <w:right w:val="none" w:sz="0" w:space="0" w:color="auto"/>
          </w:divBdr>
          <w:divsChild>
            <w:div w:id="604727797">
              <w:marLeft w:val="0"/>
              <w:marRight w:val="0"/>
              <w:marTop w:val="0"/>
              <w:marBottom w:val="0"/>
              <w:divBdr>
                <w:top w:val="none" w:sz="0" w:space="0" w:color="auto"/>
                <w:left w:val="none" w:sz="0" w:space="0" w:color="auto"/>
                <w:bottom w:val="none" w:sz="0" w:space="0" w:color="auto"/>
                <w:right w:val="none" w:sz="0" w:space="0" w:color="auto"/>
              </w:divBdr>
              <w:divsChild>
                <w:div w:id="67266138">
                  <w:marLeft w:val="0"/>
                  <w:marRight w:val="0"/>
                  <w:marTop w:val="0"/>
                  <w:marBottom w:val="0"/>
                  <w:divBdr>
                    <w:top w:val="none" w:sz="0" w:space="0" w:color="auto"/>
                    <w:left w:val="none" w:sz="0" w:space="0" w:color="auto"/>
                    <w:bottom w:val="none" w:sz="0" w:space="0" w:color="auto"/>
                    <w:right w:val="none" w:sz="0" w:space="0" w:color="auto"/>
                  </w:divBdr>
                  <w:divsChild>
                    <w:div w:id="1861238468">
                      <w:marLeft w:val="0"/>
                      <w:marRight w:val="0"/>
                      <w:marTop w:val="0"/>
                      <w:marBottom w:val="0"/>
                      <w:divBdr>
                        <w:top w:val="none" w:sz="0" w:space="0" w:color="auto"/>
                        <w:left w:val="none" w:sz="0" w:space="0" w:color="auto"/>
                        <w:bottom w:val="none" w:sz="0" w:space="0" w:color="auto"/>
                        <w:right w:val="none" w:sz="0" w:space="0" w:color="auto"/>
                      </w:divBdr>
                      <w:divsChild>
                        <w:div w:id="916355016">
                          <w:marLeft w:val="0"/>
                          <w:marRight w:val="0"/>
                          <w:marTop w:val="0"/>
                          <w:marBottom w:val="0"/>
                          <w:divBdr>
                            <w:top w:val="none" w:sz="0" w:space="0" w:color="auto"/>
                            <w:left w:val="none" w:sz="0" w:space="0" w:color="auto"/>
                            <w:bottom w:val="none" w:sz="0" w:space="0" w:color="auto"/>
                            <w:right w:val="none" w:sz="0" w:space="0" w:color="auto"/>
                          </w:divBdr>
                          <w:divsChild>
                            <w:div w:id="480082514">
                              <w:marLeft w:val="0"/>
                              <w:marRight w:val="0"/>
                              <w:marTop w:val="0"/>
                              <w:marBottom w:val="0"/>
                              <w:divBdr>
                                <w:top w:val="none" w:sz="0" w:space="0" w:color="auto"/>
                                <w:left w:val="none" w:sz="0" w:space="0" w:color="auto"/>
                                <w:bottom w:val="none" w:sz="0" w:space="0" w:color="auto"/>
                                <w:right w:val="none" w:sz="0" w:space="0" w:color="auto"/>
                              </w:divBdr>
                              <w:divsChild>
                                <w:div w:id="2453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759817">
      <w:bodyDiv w:val="1"/>
      <w:marLeft w:val="0"/>
      <w:marRight w:val="0"/>
      <w:marTop w:val="0"/>
      <w:marBottom w:val="0"/>
      <w:divBdr>
        <w:top w:val="none" w:sz="0" w:space="0" w:color="auto"/>
        <w:left w:val="none" w:sz="0" w:space="0" w:color="auto"/>
        <w:bottom w:val="none" w:sz="0" w:space="0" w:color="auto"/>
        <w:right w:val="none" w:sz="0" w:space="0" w:color="auto"/>
      </w:divBdr>
    </w:div>
    <w:div w:id="549803682">
      <w:bodyDiv w:val="1"/>
      <w:marLeft w:val="0"/>
      <w:marRight w:val="0"/>
      <w:marTop w:val="0"/>
      <w:marBottom w:val="0"/>
      <w:divBdr>
        <w:top w:val="none" w:sz="0" w:space="0" w:color="auto"/>
        <w:left w:val="none" w:sz="0" w:space="0" w:color="auto"/>
        <w:bottom w:val="none" w:sz="0" w:space="0" w:color="auto"/>
        <w:right w:val="none" w:sz="0" w:space="0" w:color="auto"/>
      </w:divBdr>
    </w:div>
    <w:div w:id="589461270">
      <w:bodyDiv w:val="1"/>
      <w:marLeft w:val="0"/>
      <w:marRight w:val="0"/>
      <w:marTop w:val="0"/>
      <w:marBottom w:val="0"/>
      <w:divBdr>
        <w:top w:val="none" w:sz="0" w:space="0" w:color="auto"/>
        <w:left w:val="none" w:sz="0" w:space="0" w:color="auto"/>
        <w:bottom w:val="none" w:sz="0" w:space="0" w:color="auto"/>
        <w:right w:val="none" w:sz="0" w:space="0" w:color="auto"/>
      </w:divBdr>
    </w:div>
    <w:div w:id="592978633">
      <w:bodyDiv w:val="1"/>
      <w:marLeft w:val="0"/>
      <w:marRight w:val="0"/>
      <w:marTop w:val="0"/>
      <w:marBottom w:val="0"/>
      <w:divBdr>
        <w:top w:val="none" w:sz="0" w:space="0" w:color="auto"/>
        <w:left w:val="none" w:sz="0" w:space="0" w:color="auto"/>
        <w:bottom w:val="none" w:sz="0" w:space="0" w:color="auto"/>
        <w:right w:val="none" w:sz="0" w:space="0" w:color="auto"/>
      </w:divBdr>
    </w:div>
    <w:div w:id="595526907">
      <w:bodyDiv w:val="1"/>
      <w:marLeft w:val="0"/>
      <w:marRight w:val="0"/>
      <w:marTop w:val="0"/>
      <w:marBottom w:val="0"/>
      <w:divBdr>
        <w:top w:val="none" w:sz="0" w:space="0" w:color="auto"/>
        <w:left w:val="none" w:sz="0" w:space="0" w:color="auto"/>
        <w:bottom w:val="none" w:sz="0" w:space="0" w:color="auto"/>
        <w:right w:val="none" w:sz="0" w:space="0" w:color="auto"/>
      </w:divBdr>
    </w:div>
    <w:div w:id="596794912">
      <w:bodyDiv w:val="1"/>
      <w:marLeft w:val="0"/>
      <w:marRight w:val="0"/>
      <w:marTop w:val="0"/>
      <w:marBottom w:val="0"/>
      <w:divBdr>
        <w:top w:val="none" w:sz="0" w:space="0" w:color="auto"/>
        <w:left w:val="none" w:sz="0" w:space="0" w:color="auto"/>
        <w:bottom w:val="none" w:sz="0" w:space="0" w:color="auto"/>
        <w:right w:val="none" w:sz="0" w:space="0" w:color="auto"/>
      </w:divBdr>
      <w:divsChild>
        <w:div w:id="1497186616">
          <w:marLeft w:val="0"/>
          <w:marRight w:val="0"/>
          <w:marTop w:val="0"/>
          <w:marBottom w:val="0"/>
          <w:divBdr>
            <w:top w:val="none" w:sz="0" w:space="0" w:color="auto"/>
            <w:left w:val="none" w:sz="0" w:space="0" w:color="auto"/>
            <w:bottom w:val="none" w:sz="0" w:space="0" w:color="auto"/>
            <w:right w:val="none" w:sz="0" w:space="0" w:color="auto"/>
          </w:divBdr>
          <w:divsChild>
            <w:div w:id="747534226">
              <w:marLeft w:val="0"/>
              <w:marRight w:val="0"/>
              <w:marTop w:val="0"/>
              <w:marBottom w:val="0"/>
              <w:divBdr>
                <w:top w:val="none" w:sz="0" w:space="0" w:color="auto"/>
                <w:left w:val="none" w:sz="0" w:space="0" w:color="auto"/>
                <w:bottom w:val="none" w:sz="0" w:space="0" w:color="auto"/>
                <w:right w:val="none" w:sz="0" w:space="0" w:color="auto"/>
              </w:divBdr>
              <w:divsChild>
                <w:div w:id="1347176150">
                  <w:marLeft w:val="0"/>
                  <w:marRight w:val="0"/>
                  <w:marTop w:val="0"/>
                  <w:marBottom w:val="0"/>
                  <w:divBdr>
                    <w:top w:val="none" w:sz="0" w:space="0" w:color="auto"/>
                    <w:left w:val="none" w:sz="0" w:space="0" w:color="auto"/>
                    <w:bottom w:val="none" w:sz="0" w:space="0" w:color="auto"/>
                    <w:right w:val="none" w:sz="0" w:space="0" w:color="auto"/>
                  </w:divBdr>
                  <w:divsChild>
                    <w:div w:id="107626826">
                      <w:marLeft w:val="0"/>
                      <w:marRight w:val="0"/>
                      <w:marTop w:val="0"/>
                      <w:marBottom w:val="0"/>
                      <w:divBdr>
                        <w:top w:val="none" w:sz="0" w:space="0" w:color="auto"/>
                        <w:left w:val="none" w:sz="0" w:space="0" w:color="auto"/>
                        <w:bottom w:val="none" w:sz="0" w:space="0" w:color="auto"/>
                        <w:right w:val="none" w:sz="0" w:space="0" w:color="auto"/>
                      </w:divBdr>
                      <w:divsChild>
                        <w:div w:id="2122138779">
                          <w:marLeft w:val="0"/>
                          <w:marRight w:val="0"/>
                          <w:marTop w:val="0"/>
                          <w:marBottom w:val="0"/>
                          <w:divBdr>
                            <w:top w:val="none" w:sz="0" w:space="0" w:color="auto"/>
                            <w:left w:val="none" w:sz="0" w:space="0" w:color="auto"/>
                            <w:bottom w:val="none" w:sz="0" w:space="0" w:color="auto"/>
                            <w:right w:val="none" w:sz="0" w:space="0" w:color="auto"/>
                          </w:divBdr>
                          <w:divsChild>
                            <w:div w:id="519198943">
                              <w:marLeft w:val="0"/>
                              <w:marRight w:val="0"/>
                              <w:marTop w:val="0"/>
                              <w:marBottom w:val="0"/>
                              <w:divBdr>
                                <w:top w:val="none" w:sz="0" w:space="0" w:color="auto"/>
                                <w:left w:val="none" w:sz="0" w:space="0" w:color="auto"/>
                                <w:bottom w:val="none" w:sz="0" w:space="0" w:color="auto"/>
                                <w:right w:val="none" w:sz="0" w:space="0" w:color="auto"/>
                              </w:divBdr>
                              <w:divsChild>
                                <w:div w:id="10095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3658">
      <w:bodyDiv w:val="1"/>
      <w:marLeft w:val="0"/>
      <w:marRight w:val="0"/>
      <w:marTop w:val="0"/>
      <w:marBottom w:val="0"/>
      <w:divBdr>
        <w:top w:val="none" w:sz="0" w:space="0" w:color="auto"/>
        <w:left w:val="none" w:sz="0" w:space="0" w:color="auto"/>
        <w:bottom w:val="none" w:sz="0" w:space="0" w:color="auto"/>
        <w:right w:val="none" w:sz="0" w:space="0" w:color="auto"/>
      </w:divBdr>
    </w:div>
    <w:div w:id="618877383">
      <w:bodyDiv w:val="1"/>
      <w:marLeft w:val="0"/>
      <w:marRight w:val="0"/>
      <w:marTop w:val="0"/>
      <w:marBottom w:val="0"/>
      <w:divBdr>
        <w:top w:val="none" w:sz="0" w:space="0" w:color="auto"/>
        <w:left w:val="none" w:sz="0" w:space="0" w:color="auto"/>
        <w:bottom w:val="none" w:sz="0" w:space="0" w:color="auto"/>
        <w:right w:val="none" w:sz="0" w:space="0" w:color="auto"/>
      </w:divBdr>
    </w:div>
    <w:div w:id="626593837">
      <w:bodyDiv w:val="1"/>
      <w:marLeft w:val="0"/>
      <w:marRight w:val="0"/>
      <w:marTop w:val="0"/>
      <w:marBottom w:val="0"/>
      <w:divBdr>
        <w:top w:val="none" w:sz="0" w:space="0" w:color="auto"/>
        <w:left w:val="none" w:sz="0" w:space="0" w:color="auto"/>
        <w:bottom w:val="none" w:sz="0" w:space="0" w:color="auto"/>
        <w:right w:val="none" w:sz="0" w:space="0" w:color="auto"/>
      </w:divBdr>
    </w:div>
    <w:div w:id="633877891">
      <w:bodyDiv w:val="1"/>
      <w:marLeft w:val="0"/>
      <w:marRight w:val="0"/>
      <w:marTop w:val="0"/>
      <w:marBottom w:val="0"/>
      <w:divBdr>
        <w:top w:val="none" w:sz="0" w:space="0" w:color="auto"/>
        <w:left w:val="none" w:sz="0" w:space="0" w:color="auto"/>
        <w:bottom w:val="none" w:sz="0" w:space="0" w:color="auto"/>
        <w:right w:val="none" w:sz="0" w:space="0" w:color="auto"/>
      </w:divBdr>
    </w:div>
    <w:div w:id="645084456">
      <w:bodyDiv w:val="1"/>
      <w:marLeft w:val="0"/>
      <w:marRight w:val="0"/>
      <w:marTop w:val="0"/>
      <w:marBottom w:val="0"/>
      <w:divBdr>
        <w:top w:val="none" w:sz="0" w:space="0" w:color="auto"/>
        <w:left w:val="none" w:sz="0" w:space="0" w:color="auto"/>
        <w:bottom w:val="none" w:sz="0" w:space="0" w:color="auto"/>
        <w:right w:val="none" w:sz="0" w:space="0" w:color="auto"/>
      </w:divBdr>
    </w:div>
    <w:div w:id="694890984">
      <w:bodyDiv w:val="1"/>
      <w:marLeft w:val="0"/>
      <w:marRight w:val="0"/>
      <w:marTop w:val="0"/>
      <w:marBottom w:val="0"/>
      <w:divBdr>
        <w:top w:val="none" w:sz="0" w:space="0" w:color="auto"/>
        <w:left w:val="none" w:sz="0" w:space="0" w:color="auto"/>
        <w:bottom w:val="none" w:sz="0" w:space="0" w:color="auto"/>
        <w:right w:val="none" w:sz="0" w:space="0" w:color="auto"/>
      </w:divBdr>
    </w:div>
    <w:div w:id="748383245">
      <w:bodyDiv w:val="1"/>
      <w:marLeft w:val="0"/>
      <w:marRight w:val="0"/>
      <w:marTop w:val="0"/>
      <w:marBottom w:val="0"/>
      <w:divBdr>
        <w:top w:val="none" w:sz="0" w:space="0" w:color="auto"/>
        <w:left w:val="none" w:sz="0" w:space="0" w:color="auto"/>
        <w:bottom w:val="none" w:sz="0" w:space="0" w:color="auto"/>
        <w:right w:val="none" w:sz="0" w:space="0" w:color="auto"/>
      </w:divBdr>
    </w:div>
    <w:div w:id="772676227">
      <w:bodyDiv w:val="1"/>
      <w:marLeft w:val="0"/>
      <w:marRight w:val="0"/>
      <w:marTop w:val="0"/>
      <w:marBottom w:val="0"/>
      <w:divBdr>
        <w:top w:val="none" w:sz="0" w:space="0" w:color="auto"/>
        <w:left w:val="none" w:sz="0" w:space="0" w:color="auto"/>
        <w:bottom w:val="none" w:sz="0" w:space="0" w:color="auto"/>
        <w:right w:val="none" w:sz="0" w:space="0" w:color="auto"/>
      </w:divBdr>
    </w:div>
    <w:div w:id="776677952">
      <w:bodyDiv w:val="1"/>
      <w:marLeft w:val="0"/>
      <w:marRight w:val="0"/>
      <w:marTop w:val="0"/>
      <w:marBottom w:val="0"/>
      <w:divBdr>
        <w:top w:val="none" w:sz="0" w:space="0" w:color="auto"/>
        <w:left w:val="none" w:sz="0" w:space="0" w:color="auto"/>
        <w:bottom w:val="none" w:sz="0" w:space="0" w:color="auto"/>
        <w:right w:val="none" w:sz="0" w:space="0" w:color="auto"/>
      </w:divBdr>
    </w:div>
    <w:div w:id="780299070">
      <w:bodyDiv w:val="1"/>
      <w:marLeft w:val="0"/>
      <w:marRight w:val="0"/>
      <w:marTop w:val="0"/>
      <w:marBottom w:val="0"/>
      <w:divBdr>
        <w:top w:val="none" w:sz="0" w:space="0" w:color="auto"/>
        <w:left w:val="none" w:sz="0" w:space="0" w:color="auto"/>
        <w:bottom w:val="none" w:sz="0" w:space="0" w:color="auto"/>
        <w:right w:val="none" w:sz="0" w:space="0" w:color="auto"/>
      </w:divBdr>
    </w:div>
    <w:div w:id="807162998">
      <w:bodyDiv w:val="1"/>
      <w:marLeft w:val="0"/>
      <w:marRight w:val="0"/>
      <w:marTop w:val="0"/>
      <w:marBottom w:val="0"/>
      <w:divBdr>
        <w:top w:val="none" w:sz="0" w:space="0" w:color="auto"/>
        <w:left w:val="none" w:sz="0" w:space="0" w:color="auto"/>
        <w:bottom w:val="none" w:sz="0" w:space="0" w:color="auto"/>
        <w:right w:val="none" w:sz="0" w:space="0" w:color="auto"/>
      </w:divBdr>
    </w:div>
    <w:div w:id="825052157">
      <w:bodyDiv w:val="1"/>
      <w:marLeft w:val="0"/>
      <w:marRight w:val="0"/>
      <w:marTop w:val="0"/>
      <w:marBottom w:val="0"/>
      <w:divBdr>
        <w:top w:val="none" w:sz="0" w:space="0" w:color="auto"/>
        <w:left w:val="none" w:sz="0" w:space="0" w:color="auto"/>
        <w:bottom w:val="none" w:sz="0" w:space="0" w:color="auto"/>
        <w:right w:val="none" w:sz="0" w:space="0" w:color="auto"/>
      </w:divBdr>
    </w:div>
    <w:div w:id="889072055">
      <w:bodyDiv w:val="1"/>
      <w:marLeft w:val="0"/>
      <w:marRight w:val="0"/>
      <w:marTop w:val="0"/>
      <w:marBottom w:val="0"/>
      <w:divBdr>
        <w:top w:val="none" w:sz="0" w:space="0" w:color="auto"/>
        <w:left w:val="none" w:sz="0" w:space="0" w:color="auto"/>
        <w:bottom w:val="none" w:sz="0" w:space="0" w:color="auto"/>
        <w:right w:val="none" w:sz="0" w:space="0" w:color="auto"/>
      </w:divBdr>
    </w:div>
    <w:div w:id="938755519">
      <w:bodyDiv w:val="1"/>
      <w:marLeft w:val="0"/>
      <w:marRight w:val="0"/>
      <w:marTop w:val="0"/>
      <w:marBottom w:val="0"/>
      <w:divBdr>
        <w:top w:val="none" w:sz="0" w:space="0" w:color="auto"/>
        <w:left w:val="none" w:sz="0" w:space="0" w:color="auto"/>
        <w:bottom w:val="none" w:sz="0" w:space="0" w:color="auto"/>
        <w:right w:val="none" w:sz="0" w:space="0" w:color="auto"/>
      </w:divBdr>
    </w:div>
    <w:div w:id="942421340">
      <w:bodyDiv w:val="1"/>
      <w:marLeft w:val="0"/>
      <w:marRight w:val="0"/>
      <w:marTop w:val="0"/>
      <w:marBottom w:val="0"/>
      <w:divBdr>
        <w:top w:val="none" w:sz="0" w:space="0" w:color="auto"/>
        <w:left w:val="none" w:sz="0" w:space="0" w:color="auto"/>
        <w:bottom w:val="none" w:sz="0" w:space="0" w:color="auto"/>
        <w:right w:val="none" w:sz="0" w:space="0" w:color="auto"/>
      </w:divBdr>
    </w:div>
    <w:div w:id="967903090">
      <w:bodyDiv w:val="1"/>
      <w:marLeft w:val="0"/>
      <w:marRight w:val="0"/>
      <w:marTop w:val="0"/>
      <w:marBottom w:val="0"/>
      <w:divBdr>
        <w:top w:val="none" w:sz="0" w:space="0" w:color="auto"/>
        <w:left w:val="none" w:sz="0" w:space="0" w:color="auto"/>
        <w:bottom w:val="none" w:sz="0" w:space="0" w:color="auto"/>
        <w:right w:val="none" w:sz="0" w:space="0" w:color="auto"/>
      </w:divBdr>
    </w:div>
    <w:div w:id="979459523">
      <w:bodyDiv w:val="1"/>
      <w:marLeft w:val="0"/>
      <w:marRight w:val="0"/>
      <w:marTop w:val="0"/>
      <w:marBottom w:val="0"/>
      <w:divBdr>
        <w:top w:val="none" w:sz="0" w:space="0" w:color="auto"/>
        <w:left w:val="none" w:sz="0" w:space="0" w:color="auto"/>
        <w:bottom w:val="none" w:sz="0" w:space="0" w:color="auto"/>
        <w:right w:val="none" w:sz="0" w:space="0" w:color="auto"/>
      </w:divBdr>
    </w:div>
    <w:div w:id="983898200">
      <w:bodyDiv w:val="1"/>
      <w:marLeft w:val="0"/>
      <w:marRight w:val="0"/>
      <w:marTop w:val="0"/>
      <w:marBottom w:val="0"/>
      <w:divBdr>
        <w:top w:val="none" w:sz="0" w:space="0" w:color="auto"/>
        <w:left w:val="none" w:sz="0" w:space="0" w:color="auto"/>
        <w:bottom w:val="none" w:sz="0" w:space="0" w:color="auto"/>
        <w:right w:val="none" w:sz="0" w:space="0" w:color="auto"/>
      </w:divBdr>
    </w:div>
    <w:div w:id="1004164150">
      <w:bodyDiv w:val="1"/>
      <w:marLeft w:val="0"/>
      <w:marRight w:val="0"/>
      <w:marTop w:val="0"/>
      <w:marBottom w:val="0"/>
      <w:divBdr>
        <w:top w:val="none" w:sz="0" w:space="0" w:color="auto"/>
        <w:left w:val="none" w:sz="0" w:space="0" w:color="auto"/>
        <w:bottom w:val="none" w:sz="0" w:space="0" w:color="auto"/>
        <w:right w:val="none" w:sz="0" w:space="0" w:color="auto"/>
      </w:divBdr>
    </w:div>
    <w:div w:id="1019239170">
      <w:bodyDiv w:val="1"/>
      <w:marLeft w:val="0"/>
      <w:marRight w:val="0"/>
      <w:marTop w:val="0"/>
      <w:marBottom w:val="0"/>
      <w:divBdr>
        <w:top w:val="none" w:sz="0" w:space="0" w:color="auto"/>
        <w:left w:val="none" w:sz="0" w:space="0" w:color="auto"/>
        <w:bottom w:val="none" w:sz="0" w:space="0" w:color="auto"/>
        <w:right w:val="none" w:sz="0" w:space="0" w:color="auto"/>
      </w:divBdr>
    </w:div>
    <w:div w:id="1041631667">
      <w:bodyDiv w:val="1"/>
      <w:marLeft w:val="0"/>
      <w:marRight w:val="0"/>
      <w:marTop w:val="0"/>
      <w:marBottom w:val="0"/>
      <w:divBdr>
        <w:top w:val="none" w:sz="0" w:space="0" w:color="auto"/>
        <w:left w:val="none" w:sz="0" w:space="0" w:color="auto"/>
        <w:bottom w:val="none" w:sz="0" w:space="0" w:color="auto"/>
        <w:right w:val="none" w:sz="0" w:space="0" w:color="auto"/>
      </w:divBdr>
    </w:div>
    <w:div w:id="1046298467">
      <w:bodyDiv w:val="1"/>
      <w:marLeft w:val="0"/>
      <w:marRight w:val="0"/>
      <w:marTop w:val="0"/>
      <w:marBottom w:val="0"/>
      <w:divBdr>
        <w:top w:val="none" w:sz="0" w:space="0" w:color="auto"/>
        <w:left w:val="none" w:sz="0" w:space="0" w:color="auto"/>
        <w:bottom w:val="none" w:sz="0" w:space="0" w:color="auto"/>
        <w:right w:val="none" w:sz="0" w:space="0" w:color="auto"/>
      </w:divBdr>
      <w:divsChild>
        <w:div w:id="395788701">
          <w:marLeft w:val="0"/>
          <w:marRight w:val="0"/>
          <w:marTop w:val="0"/>
          <w:marBottom w:val="0"/>
          <w:divBdr>
            <w:top w:val="none" w:sz="0" w:space="0" w:color="auto"/>
            <w:left w:val="none" w:sz="0" w:space="0" w:color="auto"/>
            <w:bottom w:val="none" w:sz="0" w:space="0" w:color="auto"/>
            <w:right w:val="none" w:sz="0" w:space="0" w:color="auto"/>
          </w:divBdr>
          <w:divsChild>
            <w:div w:id="1677802898">
              <w:marLeft w:val="0"/>
              <w:marRight w:val="0"/>
              <w:marTop w:val="0"/>
              <w:marBottom w:val="0"/>
              <w:divBdr>
                <w:top w:val="none" w:sz="0" w:space="0" w:color="auto"/>
                <w:left w:val="none" w:sz="0" w:space="0" w:color="auto"/>
                <w:bottom w:val="none" w:sz="0" w:space="0" w:color="auto"/>
                <w:right w:val="none" w:sz="0" w:space="0" w:color="auto"/>
              </w:divBdr>
              <w:divsChild>
                <w:div w:id="1053311867">
                  <w:marLeft w:val="0"/>
                  <w:marRight w:val="0"/>
                  <w:marTop w:val="0"/>
                  <w:marBottom w:val="0"/>
                  <w:divBdr>
                    <w:top w:val="none" w:sz="0" w:space="0" w:color="auto"/>
                    <w:left w:val="none" w:sz="0" w:space="0" w:color="auto"/>
                    <w:bottom w:val="none" w:sz="0" w:space="0" w:color="auto"/>
                    <w:right w:val="none" w:sz="0" w:space="0" w:color="auto"/>
                  </w:divBdr>
                  <w:divsChild>
                    <w:div w:id="1473984084">
                      <w:marLeft w:val="0"/>
                      <w:marRight w:val="0"/>
                      <w:marTop w:val="0"/>
                      <w:marBottom w:val="0"/>
                      <w:divBdr>
                        <w:top w:val="none" w:sz="0" w:space="0" w:color="auto"/>
                        <w:left w:val="none" w:sz="0" w:space="0" w:color="auto"/>
                        <w:bottom w:val="none" w:sz="0" w:space="0" w:color="auto"/>
                        <w:right w:val="none" w:sz="0" w:space="0" w:color="auto"/>
                      </w:divBdr>
                      <w:divsChild>
                        <w:div w:id="14653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27705">
      <w:bodyDiv w:val="1"/>
      <w:marLeft w:val="0"/>
      <w:marRight w:val="0"/>
      <w:marTop w:val="0"/>
      <w:marBottom w:val="0"/>
      <w:divBdr>
        <w:top w:val="none" w:sz="0" w:space="0" w:color="auto"/>
        <w:left w:val="none" w:sz="0" w:space="0" w:color="auto"/>
        <w:bottom w:val="none" w:sz="0" w:space="0" w:color="auto"/>
        <w:right w:val="none" w:sz="0" w:space="0" w:color="auto"/>
      </w:divBdr>
    </w:div>
    <w:div w:id="1067342220">
      <w:bodyDiv w:val="1"/>
      <w:marLeft w:val="0"/>
      <w:marRight w:val="0"/>
      <w:marTop w:val="0"/>
      <w:marBottom w:val="0"/>
      <w:divBdr>
        <w:top w:val="none" w:sz="0" w:space="0" w:color="auto"/>
        <w:left w:val="none" w:sz="0" w:space="0" w:color="auto"/>
        <w:bottom w:val="none" w:sz="0" w:space="0" w:color="auto"/>
        <w:right w:val="none" w:sz="0" w:space="0" w:color="auto"/>
      </w:divBdr>
    </w:div>
    <w:div w:id="1068071346">
      <w:bodyDiv w:val="1"/>
      <w:marLeft w:val="0"/>
      <w:marRight w:val="0"/>
      <w:marTop w:val="0"/>
      <w:marBottom w:val="0"/>
      <w:divBdr>
        <w:top w:val="none" w:sz="0" w:space="0" w:color="auto"/>
        <w:left w:val="none" w:sz="0" w:space="0" w:color="auto"/>
        <w:bottom w:val="none" w:sz="0" w:space="0" w:color="auto"/>
        <w:right w:val="none" w:sz="0" w:space="0" w:color="auto"/>
      </w:divBdr>
    </w:div>
    <w:div w:id="1068383631">
      <w:bodyDiv w:val="1"/>
      <w:marLeft w:val="0"/>
      <w:marRight w:val="0"/>
      <w:marTop w:val="0"/>
      <w:marBottom w:val="0"/>
      <w:divBdr>
        <w:top w:val="none" w:sz="0" w:space="0" w:color="auto"/>
        <w:left w:val="none" w:sz="0" w:space="0" w:color="auto"/>
        <w:bottom w:val="none" w:sz="0" w:space="0" w:color="auto"/>
        <w:right w:val="none" w:sz="0" w:space="0" w:color="auto"/>
      </w:divBdr>
    </w:div>
    <w:div w:id="1104569781">
      <w:bodyDiv w:val="1"/>
      <w:marLeft w:val="0"/>
      <w:marRight w:val="0"/>
      <w:marTop w:val="0"/>
      <w:marBottom w:val="0"/>
      <w:divBdr>
        <w:top w:val="none" w:sz="0" w:space="0" w:color="auto"/>
        <w:left w:val="none" w:sz="0" w:space="0" w:color="auto"/>
        <w:bottom w:val="none" w:sz="0" w:space="0" w:color="auto"/>
        <w:right w:val="none" w:sz="0" w:space="0" w:color="auto"/>
      </w:divBdr>
    </w:div>
    <w:div w:id="1121801453">
      <w:bodyDiv w:val="1"/>
      <w:marLeft w:val="0"/>
      <w:marRight w:val="0"/>
      <w:marTop w:val="0"/>
      <w:marBottom w:val="0"/>
      <w:divBdr>
        <w:top w:val="none" w:sz="0" w:space="0" w:color="auto"/>
        <w:left w:val="none" w:sz="0" w:space="0" w:color="auto"/>
        <w:bottom w:val="none" w:sz="0" w:space="0" w:color="auto"/>
        <w:right w:val="none" w:sz="0" w:space="0" w:color="auto"/>
      </w:divBdr>
    </w:div>
    <w:div w:id="1131482063">
      <w:bodyDiv w:val="1"/>
      <w:marLeft w:val="0"/>
      <w:marRight w:val="0"/>
      <w:marTop w:val="0"/>
      <w:marBottom w:val="0"/>
      <w:divBdr>
        <w:top w:val="none" w:sz="0" w:space="0" w:color="auto"/>
        <w:left w:val="none" w:sz="0" w:space="0" w:color="auto"/>
        <w:bottom w:val="none" w:sz="0" w:space="0" w:color="auto"/>
        <w:right w:val="none" w:sz="0" w:space="0" w:color="auto"/>
      </w:divBdr>
    </w:div>
    <w:div w:id="1141536653">
      <w:bodyDiv w:val="1"/>
      <w:marLeft w:val="0"/>
      <w:marRight w:val="0"/>
      <w:marTop w:val="0"/>
      <w:marBottom w:val="0"/>
      <w:divBdr>
        <w:top w:val="none" w:sz="0" w:space="0" w:color="auto"/>
        <w:left w:val="none" w:sz="0" w:space="0" w:color="auto"/>
        <w:bottom w:val="none" w:sz="0" w:space="0" w:color="auto"/>
        <w:right w:val="none" w:sz="0" w:space="0" w:color="auto"/>
      </w:divBdr>
    </w:div>
    <w:div w:id="1144737936">
      <w:bodyDiv w:val="1"/>
      <w:marLeft w:val="0"/>
      <w:marRight w:val="0"/>
      <w:marTop w:val="0"/>
      <w:marBottom w:val="0"/>
      <w:divBdr>
        <w:top w:val="none" w:sz="0" w:space="0" w:color="auto"/>
        <w:left w:val="none" w:sz="0" w:space="0" w:color="auto"/>
        <w:bottom w:val="none" w:sz="0" w:space="0" w:color="auto"/>
        <w:right w:val="none" w:sz="0" w:space="0" w:color="auto"/>
      </w:divBdr>
    </w:div>
    <w:div w:id="1145396053">
      <w:bodyDiv w:val="1"/>
      <w:marLeft w:val="0"/>
      <w:marRight w:val="0"/>
      <w:marTop w:val="0"/>
      <w:marBottom w:val="0"/>
      <w:divBdr>
        <w:top w:val="none" w:sz="0" w:space="0" w:color="auto"/>
        <w:left w:val="none" w:sz="0" w:space="0" w:color="auto"/>
        <w:bottom w:val="none" w:sz="0" w:space="0" w:color="auto"/>
        <w:right w:val="none" w:sz="0" w:space="0" w:color="auto"/>
      </w:divBdr>
    </w:div>
    <w:div w:id="1148980348">
      <w:bodyDiv w:val="1"/>
      <w:marLeft w:val="0"/>
      <w:marRight w:val="0"/>
      <w:marTop w:val="0"/>
      <w:marBottom w:val="0"/>
      <w:divBdr>
        <w:top w:val="none" w:sz="0" w:space="0" w:color="auto"/>
        <w:left w:val="none" w:sz="0" w:space="0" w:color="auto"/>
        <w:bottom w:val="none" w:sz="0" w:space="0" w:color="auto"/>
        <w:right w:val="none" w:sz="0" w:space="0" w:color="auto"/>
      </w:divBdr>
    </w:div>
    <w:div w:id="1193806244">
      <w:bodyDiv w:val="1"/>
      <w:marLeft w:val="0"/>
      <w:marRight w:val="0"/>
      <w:marTop w:val="0"/>
      <w:marBottom w:val="0"/>
      <w:divBdr>
        <w:top w:val="none" w:sz="0" w:space="0" w:color="auto"/>
        <w:left w:val="none" w:sz="0" w:space="0" w:color="auto"/>
        <w:bottom w:val="none" w:sz="0" w:space="0" w:color="auto"/>
        <w:right w:val="none" w:sz="0" w:space="0" w:color="auto"/>
      </w:divBdr>
    </w:div>
    <w:div w:id="1195270153">
      <w:bodyDiv w:val="1"/>
      <w:marLeft w:val="0"/>
      <w:marRight w:val="0"/>
      <w:marTop w:val="0"/>
      <w:marBottom w:val="0"/>
      <w:divBdr>
        <w:top w:val="none" w:sz="0" w:space="0" w:color="auto"/>
        <w:left w:val="none" w:sz="0" w:space="0" w:color="auto"/>
        <w:bottom w:val="none" w:sz="0" w:space="0" w:color="auto"/>
        <w:right w:val="none" w:sz="0" w:space="0" w:color="auto"/>
      </w:divBdr>
    </w:div>
    <w:div w:id="1198353957">
      <w:bodyDiv w:val="1"/>
      <w:marLeft w:val="0"/>
      <w:marRight w:val="0"/>
      <w:marTop w:val="0"/>
      <w:marBottom w:val="0"/>
      <w:divBdr>
        <w:top w:val="none" w:sz="0" w:space="0" w:color="auto"/>
        <w:left w:val="none" w:sz="0" w:space="0" w:color="auto"/>
        <w:bottom w:val="none" w:sz="0" w:space="0" w:color="auto"/>
        <w:right w:val="none" w:sz="0" w:space="0" w:color="auto"/>
      </w:divBdr>
    </w:div>
    <w:div w:id="1207376651">
      <w:bodyDiv w:val="1"/>
      <w:marLeft w:val="0"/>
      <w:marRight w:val="0"/>
      <w:marTop w:val="0"/>
      <w:marBottom w:val="0"/>
      <w:divBdr>
        <w:top w:val="none" w:sz="0" w:space="0" w:color="auto"/>
        <w:left w:val="none" w:sz="0" w:space="0" w:color="auto"/>
        <w:bottom w:val="none" w:sz="0" w:space="0" w:color="auto"/>
        <w:right w:val="none" w:sz="0" w:space="0" w:color="auto"/>
      </w:divBdr>
    </w:div>
    <w:div w:id="1208370022">
      <w:bodyDiv w:val="1"/>
      <w:marLeft w:val="0"/>
      <w:marRight w:val="0"/>
      <w:marTop w:val="0"/>
      <w:marBottom w:val="0"/>
      <w:divBdr>
        <w:top w:val="none" w:sz="0" w:space="0" w:color="auto"/>
        <w:left w:val="none" w:sz="0" w:space="0" w:color="auto"/>
        <w:bottom w:val="none" w:sz="0" w:space="0" w:color="auto"/>
        <w:right w:val="none" w:sz="0" w:space="0" w:color="auto"/>
      </w:divBdr>
    </w:div>
    <w:div w:id="1217620690">
      <w:bodyDiv w:val="1"/>
      <w:marLeft w:val="0"/>
      <w:marRight w:val="0"/>
      <w:marTop w:val="0"/>
      <w:marBottom w:val="0"/>
      <w:divBdr>
        <w:top w:val="none" w:sz="0" w:space="0" w:color="auto"/>
        <w:left w:val="none" w:sz="0" w:space="0" w:color="auto"/>
        <w:bottom w:val="none" w:sz="0" w:space="0" w:color="auto"/>
        <w:right w:val="none" w:sz="0" w:space="0" w:color="auto"/>
      </w:divBdr>
    </w:div>
    <w:div w:id="1226375269">
      <w:bodyDiv w:val="1"/>
      <w:marLeft w:val="0"/>
      <w:marRight w:val="0"/>
      <w:marTop w:val="0"/>
      <w:marBottom w:val="0"/>
      <w:divBdr>
        <w:top w:val="none" w:sz="0" w:space="0" w:color="auto"/>
        <w:left w:val="none" w:sz="0" w:space="0" w:color="auto"/>
        <w:bottom w:val="none" w:sz="0" w:space="0" w:color="auto"/>
        <w:right w:val="none" w:sz="0" w:space="0" w:color="auto"/>
      </w:divBdr>
    </w:div>
    <w:div w:id="1244796538">
      <w:bodyDiv w:val="1"/>
      <w:marLeft w:val="0"/>
      <w:marRight w:val="0"/>
      <w:marTop w:val="0"/>
      <w:marBottom w:val="0"/>
      <w:divBdr>
        <w:top w:val="none" w:sz="0" w:space="0" w:color="auto"/>
        <w:left w:val="none" w:sz="0" w:space="0" w:color="auto"/>
        <w:bottom w:val="none" w:sz="0" w:space="0" w:color="auto"/>
        <w:right w:val="none" w:sz="0" w:space="0" w:color="auto"/>
      </w:divBdr>
    </w:div>
    <w:div w:id="1249844930">
      <w:bodyDiv w:val="1"/>
      <w:marLeft w:val="0"/>
      <w:marRight w:val="0"/>
      <w:marTop w:val="0"/>
      <w:marBottom w:val="0"/>
      <w:divBdr>
        <w:top w:val="none" w:sz="0" w:space="0" w:color="auto"/>
        <w:left w:val="none" w:sz="0" w:space="0" w:color="auto"/>
        <w:bottom w:val="none" w:sz="0" w:space="0" w:color="auto"/>
        <w:right w:val="none" w:sz="0" w:space="0" w:color="auto"/>
      </w:divBdr>
    </w:div>
    <w:div w:id="1258908440">
      <w:bodyDiv w:val="1"/>
      <w:marLeft w:val="0"/>
      <w:marRight w:val="0"/>
      <w:marTop w:val="0"/>
      <w:marBottom w:val="0"/>
      <w:divBdr>
        <w:top w:val="none" w:sz="0" w:space="0" w:color="auto"/>
        <w:left w:val="none" w:sz="0" w:space="0" w:color="auto"/>
        <w:bottom w:val="none" w:sz="0" w:space="0" w:color="auto"/>
        <w:right w:val="none" w:sz="0" w:space="0" w:color="auto"/>
      </w:divBdr>
    </w:div>
    <w:div w:id="1260288906">
      <w:bodyDiv w:val="1"/>
      <w:marLeft w:val="0"/>
      <w:marRight w:val="0"/>
      <w:marTop w:val="0"/>
      <w:marBottom w:val="0"/>
      <w:divBdr>
        <w:top w:val="none" w:sz="0" w:space="0" w:color="auto"/>
        <w:left w:val="none" w:sz="0" w:space="0" w:color="auto"/>
        <w:bottom w:val="none" w:sz="0" w:space="0" w:color="auto"/>
        <w:right w:val="none" w:sz="0" w:space="0" w:color="auto"/>
      </w:divBdr>
    </w:div>
    <w:div w:id="1273702749">
      <w:bodyDiv w:val="1"/>
      <w:marLeft w:val="0"/>
      <w:marRight w:val="0"/>
      <w:marTop w:val="0"/>
      <w:marBottom w:val="0"/>
      <w:divBdr>
        <w:top w:val="none" w:sz="0" w:space="0" w:color="auto"/>
        <w:left w:val="none" w:sz="0" w:space="0" w:color="auto"/>
        <w:bottom w:val="none" w:sz="0" w:space="0" w:color="auto"/>
        <w:right w:val="none" w:sz="0" w:space="0" w:color="auto"/>
      </w:divBdr>
    </w:div>
    <w:div w:id="1305742734">
      <w:bodyDiv w:val="1"/>
      <w:marLeft w:val="0"/>
      <w:marRight w:val="0"/>
      <w:marTop w:val="0"/>
      <w:marBottom w:val="0"/>
      <w:divBdr>
        <w:top w:val="none" w:sz="0" w:space="0" w:color="auto"/>
        <w:left w:val="none" w:sz="0" w:space="0" w:color="auto"/>
        <w:bottom w:val="none" w:sz="0" w:space="0" w:color="auto"/>
        <w:right w:val="none" w:sz="0" w:space="0" w:color="auto"/>
      </w:divBdr>
    </w:div>
    <w:div w:id="1322932346">
      <w:bodyDiv w:val="1"/>
      <w:marLeft w:val="0"/>
      <w:marRight w:val="0"/>
      <w:marTop w:val="0"/>
      <w:marBottom w:val="0"/>
      <w:divBdr>
        <w:top w:val="none" w:sz="0" w:space="0" w:color="auto"/>
        <w:left w:val="none" w:sz="0" w:space="0" w:color="auto"/>
        <w:bottom w:val="none" w:sz="0" w:space="0" w:color="auto"/>
        <w:right w:val="none" w:sz="0" w:space="0" w:color="auto"/>
      </w:divBdr>
    </w:div>
    <w:div w:id="1357778368">
      <w:bodyDiv w:val="1"/>
      <w:marLeft w:val="0"/>
      <w:marRight w:val="0"/>
      <w:marTop w:val="0"/>
      <w:marBottom w:val="0"/>
      <w:divBdr>
        <w:top w:val="none" w:sz="0" w:space="0" w:color="auto"/>
        <w:left w:val="none" w:sz="0" w:space="0" w:color="auto"/>
        <w:bottom w:val="none" w:sz="0" w:space="0" w:color="auto"/>
        <w:right w:val="none" w:sz="0" w:space="0" w:color="auto"/>
      </w:divBdr>
    </w:div>
    <w:div w:id="1367488934">
      <w:bodyDiv w:val="1"/>
      <w:marLeft w:val="0"/>
      <w:marRight w:val="0"/>
      <w:marTop w:val="0"/>
      <w:marBottom w:val="0"/>
      <w:divBdr>
        <w:top w:val="none" w:sz="0" w:space="0" w:color="auto"/>
        <w:left w:val="none" w:sz="0" w:space="0" w:color="auto"/>
        <w:bottom w:val="none" w:sz="0" w:space="0" w:color="auto"/>
        <w:right w:val="none" w:sz="0" w:space="0" w:color="auto"/>
      </w:divBdr>
    </w:div>
    <w:div w:id="1404644161">
      <w:bodyDiv w:val="1"/>
      <w:marLeft w:val="0"/>
      <w:marRight w:val="0"/>
      <w:marTop w:val="0"/>
      <w:marBottom w:val="0"/>
      <w:divBdr>
        <w:top w:val="none" w:sz="0" w:space="0" w:color="auto"/>
        <w:left w:val="none" w:sz="0" w:space="0" w:color="auto"/>
        <w:bottom w:val="none" w:sz="0" w:space="0" w:color="auto"/>
        <w:right w:val="none" w:sz="0" w:space="0" w:color="auto"/>
      </w:divBdr>
    </w:div>
    <w:div w:id="1426002227">
      <w:bodyDiv w:val="1"/>
      <w:marLeft w:val="0"/>
      <w:marRight w:val="0"/>
      <w:marTop w:val="0"/>
      <w:marBottom w:val="0"/>
      <w:divBdr>
        <w:top w:val="none" w:sz="0" w:space="0" w:color="auto"/>
        <w:left w:val="none" w:sz="0" w:space="0" w:color="auto"/>
        <w:bottom w:val="none" w:sz="0" w:space="0" w:color="auto"/>
        <w:right w:val="none" w:sz="0" w:space="0" w:color="auto"/>
      </w:divBdr>
    </w:div>
    <w:div w:id="1442653285">
      <w:bodyDiv w:val="1"/>
      <w:marLeft w:val="0"/>
      <w:marRight w:val="0"/>
      <w:marTop w:val="0"/>
      <w:marBottom w:val="0"/>
      <w:divBdr>
        <w:top w:val="none" w:sz="0" w:space="0" w:color="auto"/>
        <w:left w:val="none" w:sz="0" w:space="0" w:color="auto"/>
        <w:bottom w:val="none" w:sz="0" w:space="0" w:color="auto"/>
        <w:right w:val="none" w:sz="0" w:space="0" w:color="auto"/>
      </w:divBdr>
      <w:divsChild>
        <w:div w:id="1208301541">
          <w:marLeft w:val="0"/>
          <w:marRight w:val="0"/>
          <w:marTop w:val="0"/>
          <w:marBottom w:val="0"/>
          <w:divBdr>
            <w:top w:val="none" w:sz="0" w:space="0" w:color="auto"/>
            <w:left w:val="none" w:sz="0" w:space="0" w:color="auto"/>
            <w:bottom w:val="none" w:sz="0" w:space="0" w:color="auto"/>
            <w:right w:val="none" w:sz="0" w:space="0" w:color="auto"/>
          </w:divBdr>
          <w:divsChild>
            <w:div w:id="433524368">
              <w:marLeft w:val="0"/>
              <w:marRight w:val="0"/>
              <w:marTop w:val="0"/>
              <w:marBottom w:val="0"/>
              <w:divBdr>
                <w:top w:val="none" w:sz="0" w:space="0" w:color="auto"/>
                <w:left w:val="none" w:sz="0" w:space="0" w:color="auto"/>
                <w:bottom w:val="none" w:sz="0" w:space="0" w:color="auto"/>
                <w:right w:val="none" w:sz="0" w:space="0" w:color="auto"/>
              </w:divBdr>
              <w:divsChild>
                <w:div w:id="982538444">
                  <w:marLeft w:val="0"/>
                  <w:marRight w:val="0"/>
                  <w:marTop w:val="0"/>
                  <w:marBottom w:val="0"/>
                  <w:divBdr>
                    <w:top w:val="none" w:sz="0" w:space="0" w:color="auto"/>
                    <w:left w:val="none" w:sz="0" w:space="0" w:color="auto"/>
                    <w:bottom w:val="none" w:sz="0" w:space="0" w:color="auto"/>
                    <w:right w:val="none" w:sz="0" w:space="0" w:color="auto"/>
                  </w:divBdr>
                  <w:divsChild>
                    <w:div w:id="1801849117">
                      <w:marLeft w:val="0"/>
                      <w:marRight w:val="0"/>
                      <w:marTop w:val="0"/>
                      <w:marBottom w:val="0"/>
                      <w:divBdr>
                        <w:top w:val="none" w:sz="0" w:space="0" w:color="auto"/>
                        <w:left w:val="none" w:sz="0" w:space="0" w:color="auto"/>
                        <w:bottom w:val="none" w:sz="0" w:space="0" w:color="auto"/>
                        <w:right w:val="none" w:sz="0" w:space="0" w:color="auto"/>
                      </w:divBdr>
                      <w:divsChild>
                        <w:div w:id="790712699">
                          <w:marLeft w:val="0"/>
                          <w:marRight w:val="0"/>
                          <w:marTop w:val="0"/>
                          <w:marBottom w:val="0"/>
                          <w:divBdr>
                            <w:top w:val="none" w:sz="0" w:space="0" w:color="auto"/>
                            <w:left w:val="none" w:sz="0" w:space="0" w:color="auto"/>
                            <w:bottom w:val="none" w:sz="0" w:space="0" w:color="auto"/>
                            <w:right w:val="none" w:sz="0" w:space="0" w:color="auto"/>
                          </w:divBdr>
                          <w:divsChild>
                            <w:div w:id="1226836924">
                              <w:marLeft w:val="0"/>
                              <w:marRight w:val="0"/>
                              <w:marTop w:val="0"/>
                              <w:marBottom w:val="0"/>
                              <w:divBdr>
                                <w:top w:val="none" w:sz="0" w:space="0" w:color="auto"/>
                                <w:left w:val="none" w:sz="0" w:space="0" w:color="auto"/>
                                <w:bottom w:val="none" w:sz="0" w:space="0" w:color="auto"/>
                                <w:right w:val="none" w:sz="0" w:space="0" w:color="auto"/>
                              </w:divBdr>
                              <w:divsChild>
                                <w:div w:id="278609633">
                                  <w:marLeft w:val="0"/>
                                  <w:marRight w:val="0"/>
                                  <w:marTop w:val="0"/>
                                  <w:marBottom w:val="0"/>
                                  <w:divBdr>
                                    <w:top w:val="none" w:sz="0" w:space="0" w:color="auto"/>
                                    <w:left w:val="none" w:sz="0" w:space="0" w:color="auto"/>
                                    <w:bottom w:val="none" w:sz="0" w:space="0" w:color="auto"/>
                                    <w:right w:val="none" w:sz="0" w:space="0" w:color="auto"/>
                                  </w:divBdr>
                                </w:div>
                                <w:div w:id="16563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662306">
      <w:bodyDiv w:val="1"/>
      <w:marLeft w:val="0"/>
      <w:marRight w:val="0"/>
      <w:marTop w:val="0"/>
      <w:marBottom w:val="0"/>
      <w:divBdr>
        <w:top w:val="none" w:sz="0" w:space="0" w:color="auto"/>
        <w:left w:val="none" w:sz="0" w:space="0" w:color="auto"/>
        <w:bottom w:val="none" w:sz="0" w:space="0" w:color="auto"/>
        <w:right w:val="none" w:sz="0" w:space="0" w:color="auto"/>
      </w:divBdr>
    </w:div>
    <w:div w:id="1472939217">
      <w:bodyDiv w:val="1"/>
      <w:marLeft w:val="0"/>
      <w:marRight w:val="0"/>
      <w:marTop w:val="0"/>
      <w:marBottom w:val="0"/>
      <w:divBdr>
        <w:top w:val="none" w:sz="0" w:space="0" w:color="auto"/>
        <w:left w:val="none" w:sz="0" w:space="0" w:color="auto"/>
        <w:bottom w:val="none" w:sz="0" w:space="0" w:color="auto"/>
        <w:right w:val="none" w:sz="0" w:space="0" w:color="auto"/>
      </w:divBdr>
    </w:div>
    <w:div w:id="1493787922">
      <w:bodyDiv w:val="1"/>
      <w:marLeft w:val="0"/>
      <w:marRight w:val="0"/>
      <w:marTop w:val="0"/>
      <w:marBottom w:val="0"/>
      <w:divBdr>
        <w:top w:val="none" w:sz="0" w:space="0" w:color="auto"/>
        <w:left w:val="none" w:sz="0" w:space="0" w:color="auto"/>
        <w:bottom w:val="none" w:sz="0" w:space="0" w:color="auto"/>
        <w:right w:val="none" w:sz="0" w:space="0" w:color="auto"/>
      </w:divBdr>
    </w:div>
    <w:div w:id="1497838881">
      <w:bodyDiv w:val="1"/>
      <w:marLeft w:val="0"/>
      <w:marRight w:val="0"/>
      <w:marTop w:val="0"/>
      <w:marBottom w:val="0"/>
      <w:divBdr>
        <w:top w:val="none" w:sz="0" w:space="0" w:color="auto"/>
        <w:left w:val="none" w:sz="0" w:space="0" w:color="auto"/>
        <w:bottom w:val="none" w:sz="0" w:space="0" w:color="auto"/>
        <w:right w:val="none" w:sz="0" w:space="0" w:color="auto"/>
      </w:divBdr>
    </w:div>
    <w:div w:id="1498612740">
      <w:bodyDiv w:val="1"/>
      <w:marLeft w:val="0"/>
      <w:marRight w:val="0"/>
      <w:marTop w:val="0"/>
      <w:marBottom w:val="0"/>
      <w:divBdr>
        <w:top w:val="none" w:sz="0" w:space="0" w:color="auto"/>
        <w:left w:val="none" w:sz="0" w:space="0" w:color="auto"/>
        <w:bottom w:val="none" w:sz="0" w:space="0" w:color="auto"/>
        <w:right w:val="none" w:sz="0" w:space="0" w:color="auto"/>
      </w:divBdr>
    </w:div>
    <w:div w:id="1499617803">
      <w:bodyDiv w:val="1"/>
      <w:marLeft w:val="0"/>
      <w:marRight w:val="0"/>
      <w:marTop w:val="0"/>
      <w:marBottom w:val="0"/>
      <w:divBdr>
        <w:top w:val="none" w:sz="0" w:space="0" w:color="auto"/>
        <w:left w:val="none" w:sz="0" w:space="0" w:color="auto"/>
        <w:bottom w:val="none" w:sz="0" w:space="0" w:color="auto"/>
        <w:right w:val="none" w:sz="0" w:space="0" w:color="auto"/>
      </w:divBdr>
    </w:div>
    <w:div w:id="1503088826">
      <w:bodyDiv w:val="1"/>
      <w:marLeft w:val="0"/>
      <w:marRight w:val="0"/>
      <w:marTop w:val="0"/>
      <w:marBottom w:val="0"/>
      <w:divBdr>
        <w:top w:val="none" w:sz="0" w:space="0" w:color="auto"/>
        <w:left w:val="none" w:sz="0" w:space="0" w:color="auto"/>
        <w:bottom w:val="none" w:sz="0" w:space="0" w:color="auto"/>
        <w:right w:val="none" w:sz="0" w:space="0" w:color="auto"/>
      </w:divBdr>
    </w:div>
    <w:div w:id="1514107787">
      <w:bodyDiv w:val="1"/>
      <w:marLeft w:val="0"/>
      <w:marRight w:val="0"/>
      <w:marTop w:val="0"/>
      <w:marBottom w:val="0"/>
      <w:divBdr>
        <w:top w:val="none" w:sz="0" w:space="0" w:color="auto"/>
        <w:left w:val="none" w:sz="0" w:space="0" w:color="auto"/>
        <w:bottom w:val="none" w:sz="0" w:space="0" w:color="auto"/>
        <w:right w:val="none" w:sz="0" w:space="0" w:color="auto"/>
      </w:divBdr>
    </w:div>
    <w:div w:id="1517500129">
      <w:bodyDiv w:val="1"/>
      <w:marLeft w:val="0"/>
      <w:marRight w:val="0"/>
      <w:marTop w:val="0"/>
      <w:marBottom w:val="0"/>
      <w:divBdr>
        <w:top w:val="none" w:sz="0" w:space="0" w:color="auto"/>
        <w:left w:val="none" w:sz="0" w:space="0" w:color="auto"/>
        <w:bottom w:val="none" w:sz="0" w:space="0" w:color="auto"/>
        <w:right w:val="none" w:sz="0" w:space="0" w:color="auto"/>
      </w:divBdr>
    </w:div>
    <w:div w:id="1563373325">
      <w:bodyDiv w:val="1"/>
      <w:marLeft w:val="0"/>
      <w:marRight w:val="0"/>
      <w:marTop w:val="0"/>
      <w:marBottom w:val="0"/>
      <w:divBdr>
        <w:top w:val="none" w:sz="0" w:space="0" w:color="auto"/>
        <w:left w:val="none" w:sz="0" w:space="0" w:color="auto"/>
        <w:bottom w:val="none" w:sz="0" w:space="0" w:color="auto"/>
        <w:right w:val="none" w:sz="0" w:space="0" w:color="auto"/>
      </w:divBdr>
    </w:div>
    <w:div w:id="1567454179">
      <w:bodyDiv w:val="1"/>
      <w:marLeft w:val="0"/>
      <w:marRight w:val="0"/>
      <w:marTop w:val="0"/>
      <w:marBottom w:val="0"/>
      <w:divBdr>
        <w:top w:val="none" w:sz="0" w:space="0" w:color="auto"/>
        <w:left w:val="none" w:sz="0" w:space="0" w:color="auto"/>
        <w:bottom w:val="none" w:sz="0" w:space="0" w:color="auto"/>
        <w:right w:val="none" w:sz="0" w:space="0" w:color="auto"/>
      </w:divBdr>
    </w:div>
    <w:div w:id="1597901783">
      <w:bodyDiv w:val="1"/>
      <w:marLeft w:val="0"/>
      <w:marRight w:val="0"/>
      <w:marTop w:val="0"/>
      <w:marBottom w:val="0"/>
      <w:divBdr>
        <w:top w:val="none" w:sz="0" w:space="0" w:color="auto"/>
        <w:left w:val="none" w:sz="0" w:space="0" w:color="auto"/>
        <w:bottom w:val="none" w:sz="0" w:space="0" w:color="auto"/>
        <w:right w:val="none" w:sz="0" w:space="0" w:color="auto"/>
      </w:divBdr>
      <w:divsChild>
        <w:div w:id="2109887042">
          <w:marLeft w:val="0"/>
          <w:marRight w:val="0"/>
          <w:marTop w:val="150"/>
          <w:marBottom w:val="150"/>
          <w:divBdr>
            <w:top w:val="single" w:sz="6" w:space="0" w:color="002D56"/>
            <w:left w:val="single" w:sz="6" w:space="0" w:color="002D56"/>
            <w:bottom w:val="single" w:sz="6" w:space="0" w:color="002D56"/>
            <w:right w:val="single" w:sz="6" w:space="0" w:color="002D56"/>
          </w:divBdr>
          <w:divsChild>
            <w:div w:id="843545649">
              <w:marLeft w:val="0"/>
              <w:marRight w:val="0"/>
              <w:marTop w:val="0"/>
              <w:marBottom w:val="0"/>
              <w:divBdr>
                <w:top w:val="none" w:sz="0" w:space="0" w:color="auto"/>
                <w:left w:val="none" w:sz="0" w:space="0" w:color="auto"/>
                <w:bottom w:val="none" w:sz="0" w:space="0" w:color="auto"/>
                <w:right w:val="none" w:sz="0" w:space="0" w:color="auto"/>
              </w:divBdr>
            </w:div>
            <w:div w:id="1260482119">
              <w:marLeft w:val="0"/>
              <w:marRight w:val="0"/>
              <w:marTop w:val="0"/>
              <w:marBottom w:val="0"/>
              <w:divBdr>
                <w:top w:val="none" w:sz="0" w:space="0" w:color="auto"/>
                <w:left w:val="none" w:sz="0" w:space="0" w:color="auto"/>
                <w:bottom w:val="none" w:sz="0" w:space="0" w:color="auto"/>
                <w:right w:val="none" w:sz="0" w:space="0" w:color="auto"/>
              </w:divBdr>
            </w:div>
            <w:div w:id="1619068557">
              <w:marLeft w:val="0"/>
              <w:marRight w:val="0"/>
              <w:marTop w:val="0"/>
              <w:marBottom w:val="0"/>
              <w:divBdr>
                <w:top w:val="none" w:sz="0" w:space="0" w:color="auto"/>
                <w:left w:val="none" w:sz="0" w:space="0" w:color="auto"/>
                <w:bottom w:val="none" w:sz="0" w:space="0" w:color="auto"/>
                <w:right w:val="none" w:sz="0" w:space="0" w:color="auto"/>
              </w:divBdr>
              <w:divsChild>
                <w:div w:id="1863589309">
                  <w:marLeft w:val="0"/>
                  <w:marRight w:val="150"/>
                  <w:marTop w:val="225"/>
                  <w:marBottom w:val="0"/>
                  <w:divBdr>
                    <w:top w:val="none" w:sz="0" w:space="0" w:color="auto"/>
                    <w:left w:val="none" w:sz="0" w:space="0" w:color="auto"/>
                    <w:bottom w:val="none" w:sz="0" w:space="0" w:color="auto"/>
                    <w:right w:val="none" w:sz="0" w:space="0" w:color="auto"/>
                  </w:divBdr>
                  <w:divsChild>
                    <w:div w:id="1071006147">
                      <w:marLeft w:val="0"/>
                      <w:marRight w:val="0"/>
                      <w:marTop w:val="375"/>
                      <w:marBottom w:val="300"/>
                      <w:divBdr>
                        <w:top w:val="none" w:sz="0" w:space="0" w:color="auto"/>
                        <w:left w:val="none" w:sz="0" w:space="0" w:color="auto"/>
                        <w:bottom w:val="none" w:sz="0" w:space="0" w:color="auto"/>
                        <w:right w:val="none" w:sz="0" w:space="0" w:color="auto"/>
                      </w:divBdr>
                      <w:divsChild>
                        <w:div w:id="1083181990">
                          <w:marLeft w:val="0"/>
                          <w:marRight w:val="0"/>
                          <w:marTop w:val="0"/>
                          <w:marBottom w:val="300"/>
                          <w:divBdr>
                            <w:top w:val="none" w:sz="0" w:space="0" w:color="auto"/>
                            <w:left w:val="none" w:sz="0" w:space="0" w:color="auto"/>
                            <w:bottom w:val="none" w:sz="0" w:space="0" w:color="auto"/>
                            <w:right w:val="none" w:sz="0" w:space="0" w:color="auto"/>
                          </w:divBdr>
                          <w:divsChild>
                            <w:div w:id="1534345949">
                              <w:marLeft w:val="0"/>
                              <w:marRight w:val="0"/>
                              <w:marTop w:val="0"/>
                              <w:marBottom w:val="0"/>
                              <w:divBdr>
                                <w:top w:val="none" w:sz="0" w:space="0" w:color="auto"/>
                                <w:left w:val="none" w:sz="0" w:space="0" w:color="auto"/>
                                <w:bottom w:val="none" w:sz="0" w:space="0" w:color="auto"/>
                                <w:right w:val="none" w:sz="0" w:space="0" w:color="auto"/>
                              </w:divBdr>
                            </w:div>
                          </w:divsChild>
                        </w:div>
                        <w:div w:id="13856435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8463982">
      <w:bodyDiv w:val="1"/>
      <w:marLeft w:val="0"/>
      <w:marRight w:val="0"/>
      <w:marTop w:val="0"/>
      <w:marBottom w:val="0"/>
      <w:divBdr>
        <w:top w:val="none" w:sz="0" w:space="0" w:color="auto"/>
        <w:left w:val="none" w:sz="0" w:space="0" w:color="auto"/>
        <w:bottom w:val="none" w:sz="0" w:space="0" w:color="auto"/>
        <w:right w:val="none" w:sz="0" w:space="0" w:color="auto"/>
      </w:divBdr>
    </w:div>
    <w:div w:id="1641114295">
      <w:bodyDiv w:val="1"/>
      <w:marLeft w:val="0"/>
      <w:marRight w:val="0"/>
      <w:marTop w:val="0"/>
      <w:marBottom w:val="0"/>
      <w:divBdr>
        <w:top w:val="none" w:sz="0" w:space="0" w:color="auto"/>
        <w:left w:val="none" w:sz="0" w:space="0" w:color="auto"/>
        <w:bottom w:val="none" w:sz="0" w:space="0" w:color="auto"/>
        <w:right w:val="none" w:sz="0" w:space="0" w:color="auto"/>
      </w:divBdr>
    </w:div>
    <w:div w:id="1654870773">
      <w:bodyDiv w:val="1"/>
      <w:marLeft w:val="0"/>
      <w:marRight w:val="0"/>
      <w:marTop w:val="0"/>
      <w:marBottom w:val="0"/>
      <w:divBdr>
        <w:top w:val="none" w:sz="0" w:space="0" w:color="auto"/>
        <w:left w:val="none" w:sz="0" w:space="0" w:color="auto"/>
        <w:bottom w:val="none" w:sz="0" w:space="0" w:color="auto"/>
        <w:right w:val="none" w:sz="0" w:space="0" w:color="auto"/>
      </w:divBdr>
    </w:div>
    <w:div w:id="1667171491">
      <w:bodyDiv w:val="1"/>
      <w:marLeft w:val="0"/>
      <w:marRight w:val="0"/>
      <w:marTop w:val="0"/>
      <w:marBottom w:val="0"/>
      <w:divBdr>
        <w:top w:val="none" w:sz="0" w:space="0" w:color="auto"/>
        <w:left w:val="none" w:sz="0" w:space="0" w:color="auto"/>
        <w:bottom w:val="none" w:sz="0" w:space="0" w:color="auto"/>
        <w:right w:val="none" w:sz="0" w:space="0" w:color="auto"/>
      </w:divBdr>
    </w:div>
    <w:div w:id="1671130211">
      <w:bodyDiv w:val="1"/>
      <w:marLeft w:val="0"/>
      <w:marRight w:val="0"/>
      <w:marTop w:val="0"/>
      <w:marBottom w:val="0"/>
      <w:divBdr>
        <w:top w:val="none" w:sz="0" w:space="0" w:color="auto"/>
        <w:left w:val="none" w:sz="0" w:space="0" w:color="auto"/>
        <w:bottom w:val="none" w:sz="0" w:space="0" w:color="auto"/>
        <w:right w:val="none" w:sz="0" w:space="0" w:color="auto"/>
      </w:divBdr>
    </w:div>
    <w:div w:id="1675499223">
      <w:bodyDiv w:val="1"/>
      <w:marLeft w:val="0"/>
      <w:marRight w:val="0"/>
      <w:marTop w:val="0"/>
      <w:marBottom w:val="0"/>
      <w:divBdr>
        <w:top w:val="none" w:sz="0" w:space="0" w:color="auto"/>
        <w:left w:val="none" w:sz="0" w:space="0" w:color="auto"/>
        <w:bottom w:val="none" w:sz="0" w:space="0" w:color="auto"/>
        <w:right w:val="none" w:sz="0" w:space="0" w:color="auto"/>
      </w:divBdr>
    </w:div>
    <w:div w:id="1680960341">
      <w:bodyDiv w:val="1"/>
      <w:marLeft w:val="0"/>
      <w:marRight w:val="0"/>
      <w:marTop w:val="0"/>
      <w:marBottom w:val="0"/>
      <w:divBdr>
        <w:top w:val="none" w:sz="0" w:space="0" w:color="auto"/>
        <w:left w:val="none" w:sz="0" w:space="0" w:color="auto"/>
        <w:bottom w:val="none" w:sz="0" w:space="0" w:color="auto"/>
        <w:right w:val="none" w:sz="0" w:space="0" w:color="auto"/>
      </w:divBdr>
    </w:div>
    <w:div w:id="1733694422">
      <w:bodyDiv w:val="1"/>
      <w:marLeft w:val="0"/>
      <w:marRight w:val="0"/>
      <w:marTop w:val="0"/>
      <w:marBottom w:val="0"/>
      <w:divBdr>
        <w:top w:val="none" w:sz="0" w:space="0" w:color="auto"/>
        <w:left w:val="none" w:sz="0" w:space="0" w:color="auto"/>
        <w:bottom w:val="none" w:sz="0" w:space="0" w:color="auto"/>
        <w:right w:val="none" w:sz="0" w:space="0" w:color="auto"/>
      </w:divBdr>
    </w:div>
    <w:div w:id="1734893188">
      <w:bodyDiv w:val="1"/>
      <w:marLeft w:val="0"/>
      <w:marRight w:val="0"/>
      <w:marTop w:val="0"/>
      <w:marBottom w:val="0"/>
      <w:divBdr>
        <w:top w:val="none" w:sz="0" w:space="0" w:color="auto"/>
        <w:left w:val="none" w:sz="0" w:space="0" w:color="auto"/>
        <w:bottom w:val="none" w:sz="0" w:space="0" w:color="auto"/>
        <w:right w:val="none" w:sz="0" w:space="0" w:color="auto"/>
      </w:divBdr>
    </w:div>
    <w:div w:id="1757091919">
      <w:bodyDiv w:val="1"/>
      <w:marLeft w:val="0"/>
      <w:marRight w:val="0"/>
      <w:marTop w:val="0"/>
      <w:marBottom w:val="0"/>
      <w:divBdr>
        <w:top w:val="none" w:sz="0" w:space="0" w:color="auto"/>
        <w:left w:val="none" w:sz="0" w:space="0" w:color="auto"/>
        <w:bottom w:val="none" w:sz="0" w:space="0" w:color="auto"/>
        <w:right w:val="none" w:sz="0" w:space="0" w:color="auto"/>
      </w:divBdr>
    </w:div>
    <w:div w:id="1820800331">
      <w:bodyDiv w:val="1"/>
      <w:marLeft w:val="0"/>
      <w:marRight w:val="0"/>
      <w:marTop w:val="0"/>
      <w:marBottom w:val="0"/>
      <w:divBdr>
        <w:top w:val="none" w:sz="0" w:space="0" w:color="auto"/>
        <w:left w:val="none" w:sz="0" w:space="0" w:color="auto"/>
        <w:bottom w:val="none" w:sz="0" w:space="0" w:color="auto"/>
        <w:right w:val="none" w:sz="0" w:space="0" w:color="auto"/>
      </w:divBdr>
    </w:div>
    <w:div w:id="1831289432">
      <w:bodyDiv w:val="1"/>
      <w:marLeft w:val="0"/>
      <w:marRight w:val="0"/>
      <w:marTop w:val="0"/>
      <w:marBottom w:val="0"/>
      <w:divBdr>
        <w:top w:val="none" w:sz="0" w:space="0" w:color="auto"/>
        <w:left w:val="none" w:sz="0" w:space="0" w:color="auto"/>
        <w:bottom w:val="none" w:sz="0" w:space="0" w:color="auto"/>
        <w:right w:val="none" w:sz="0" w:space="0" w:color="auto"/>
      </w:divBdr>
    </w:div>
    <w:div w:id="1832871991">
      <w:bodyDiv w:val="1"/>
      <w:marLeft w:val="0"/>
      <w:marRight w:val="0"/>
      <w:marTop w:val="0"/>
      <w:marBottom w:val="0"/>
      <w:divBdr>
        <w:top w:val="none" w:sz="0" w:space="0" w:color="auto"/>
        <w:left w:val="none" w:sz="0" w:space="0" w:color="auto"/>
        <w:bottom w:val="none" w:sz="0" w:space="0" w:color="auto"/>
        <w:right w:val="none" w:sz="0" w:space="0" w:color="auto"/>
      </w:divBdr>
    </w:div>
    <w:div w:id="1837258554">
      <w:bodyDiv w:val="1"/>
      <w:marLeft w:val="0"/>
      <w:marRight w:val="0"/>
      <w:marTop w:val="0"/>
      <w:marBottom w:val="0"/>
      <w:divBdr>
        <w:top w:val="none" w:sz="0" w:space="0" w:color="auto"/>
        <w:left w:val="none" w:sz="0" w:space="0" w:color="auto"/>
        <w:bottom w:val="none" w:sz="0" w:space="0" w:color="auto"/>
        <w:right w:val="none" w:sz="0" w:space="0" w:color="auto"/>
      </w:divBdr>
    </w:div>
    <w:div w:id="1848592880">
      <w:bodyDiv w:val="1"/>
      <w:marLeft w:val="0"/>
      <w:marRight w:val="0"/>
      <w:marTop w:val="0"/>
      <w:marBottom w:val="0"/>
      <w:divBdr>
        <w:top w:val="none" w:sz="0" w:space="0" w:color="auto"/>
        <w:left w:val="none" w:sz="0" w:space="0" w:color="auto"/>
        <w:bottom w:val="none" w:sz="0" w:space="0" w:color="auto"/>
        <w:right w:val="none" w:sz="0" w:space="0" w:color="auto"/>
      </w:divBdr>
    </w:div>
    <w:div w:id="1864896528">
      <w:bodyDiv w:val="1"/>
      <w:marLeft w:val="0"/>
      <w:marRight w:val="0"/>
      <w:marTop w:val="0"/>
      <w:marBottom w:val="0"/>
      <w:divBdr>
        <w:top w:val="none" w:sz="0" w:space="0" w:color="auto"/>
        <w:left w:val="none" w:sz="0" w:space="0" w:color="auto"/>
        <w:bottom w:val="none" w:sz="0" w:space="0" w:color="auto"/>
        <w:right w:val="none" w:sz="0" w:space="0" w:color="auto"/>
      </w:divBdr>
    </w:div>
    <w:div w:id="1870407553">
      <w:bodyDiv w:val="1"/>
      <w:marLeft w:val="0"/>
      <w:marRight w:val="0"/>
      <w:marTop w:val="0"/>
      <w:marBottom w:val="0"/>
      <w:divBdr>
        <w:top w:val="none" w:sz="0" w:space="0" w:color="auto"/>
        <w:left w:val="none" w:sz="0" w:space="0" w:color="auto"/>
        <w:bottom w:val="none" w:sz="0" w:space="0" w:color="auto"/>
        <w:right w:val="none" w:sz="0" w:space="0" w:color="auto"/>
      </w:divBdr>
    </w:div>
    <w:div w:id="1872498994">
      <w:bodyDiv w:val="1"/>
      <w:marLeft w:val="0"/>
      <w:marRight w:val="0"/>
      <w:marTop w:val="0"/>
      <w:marBottom w:val="0"/>
      <w:divBdr>
        <w:top w:val="none" w:sz="0" w:space="0" w:color="auto"/>
        <w:left w:val="none" w:sz="0" w:space="0" w:color="auto"/>
        <w:bottom w:val="none" w:sz="0" w:space="0" w:color="auto"/>
        <w:right w:val="none" w:sz="0" w:space="0" w:color="auto"/>
      </w:divBdr>
    </w:div>
    <w:div w:id="1875725016">
      <w:marLeft w:val="0"/>
      <w:marRight w:val="0"/>
      <w:marTop w:val="0"/>
      <w:marBottom w:val="0"/>
      <w:divBdr>
        <w:top w:val="none" w:sz="0" w:space="0" w:color="auto"/>
        <w:left w:val="none" w:sz="0" w:space="0" w:color="auto"/>
        <w:bottom w:val="none" w:sz="0" w:space="0" w:color="auto"/>
        <w:right w:val="none" w:sz="0" w:space="0" w:color="auto"/>
      </w:divBdr>
    </w:div>
    <w:div w:id="1875725017">
      <w:marLeft w:val="0"/>
      <w:marRight w:val="0"/>
      <w:marTop w:val="0"/>
      <w:marBottom w:val="0"/>
      <w:divBdr>
        <w:top w:val="none" w:sz="0" w:space="0" w:color="auto"/>
        <w:left w:val="none" w:sz="0" w:space="0" w:color="auto"/>
        <w:bottom w:val="none" w:sz="0" w:space="0" w:color="auto"/>
        <w:right w:val="none" w:sz="0" w:space="0" w:color="auto"/>
      </w:divBdr>
    </w:div>
    <w:div w:id="1875725018">
      <w:marLeft w:val="0"/>
      <w:marRight w:val="0"/>
      <w:marTop w:val="0"/>
      <w:marBottom w:val="0"/>
      <w:divBdr>
        <w:top w:val="none" w:sz="0" w:space="0" w:color="auto"/>
        <w:left w:val="none" w:sz="0" w:space="0" w:color="auto"/>
        <w:bottom w:val="none" w:sz="0" w:space="0" w:color="auto"/>
        <w:right w:val="none" w:sz="0" w:space="0" w:color="auto"/>
      </w:divBdr>
    </w:div>
    <w:div w:id="1901942162">
      <w:bodyDiv w:val="1"/>
      <w:marLeft w:val="0"/>
      <w:marRight w:val="0"/>
      <w:marTop w:val="0"/>
      <w:marBottom w:val="0"/>
      <w:divBdr>
        <w:top w:val="none" w:sz="0" w:space="0" w:color="auto"/>
        <w:left w:val="none" w:sz="0" w:space="0" w:color="auto"/>
        <w:bottom w:val="none" w:sz="0" w:space="0" w:color="auto"/>
        <w:right w:val="none" w:sz="0" w:space="0" w:color="auto"/>
      </w:divBdr>
    </w:div>
    <w:div w:id="1903061051">
      <w:bodyDiv w:val="1"/>
      <w:marLeft w:val="0"/>
      <w:marRight w:val="0"/>
      <w:marTop w:val="0"/>
      <w:marBottom w:val="0"/>
      <w:divBdr>
        <w:top w:val="none" w:sz="0" w:space="0" w:color="auto"/>
        <w:left w:val="none" w:sz="0" w:space="0" w:color="auto"/>
        <w:bottom w:val="none" w:sz="0" w:space="0" w:color="auto"/>
        <w:right w:val="none" w:sz="0" w:space="0" w:color="auto"/>
      </w:divBdr>
    </w:div>
    <w:div w:id="1907111483">
      <w:bodyDiv w:val="1"/>
      <w:marLeft w:val="0"/>
      <w:marRight w:val="0"/>
      <w:marTop w:val="0"/>
      <w:marBottom w:val="0"/>
      <w:divBdr>
        <w:top w:val="none" w:sz="0" w:space="0" w:color="auto"/>
        <w:left w:val="none" w:sz="0" w:space="0" w:color="auto"/>
        <w:bottom w:val="none" w:sz="0" w:space="0" w:color="auto"/>
        <w:right w:val="none" w:sz="0" w:space="0" w:color="auto"/>
      </w:divBdr>
    </w:div>
    <w:div w:id="1922257060">
      <w:bodyDiv w:val="1"/>
      <w:marLeft w:val="0"/>
      <w:marRight w:val="0"/>
      <w:marTop w:val="0"/>
      <w:marBottom w:val="0"/>
      <w:divBdr>
        <w:top w:val="none" w:sz="0" w:space="0" w:color="auto"/>
        <w:left w:val="none" w:sz="0" w:space="0" w:color="auto"/>
        <w:bottom w:val="none" w:sz="0" w:space="0" w:color="auto"/>
        <w:right w:val="none" w:sz="0" w:space="0" w:color="auto"/>
      </w:divBdr>
    </w:div>
    <w:div w:id="1924217601">
      <w:bodyDiv w:val="1"/>
      <w:marLeft w:val="0"/>
      <w:marRight w:val="0"/>
      <w:marTop w:val="0"/>
      <w:marBottom w:val="0"/>
      <w:divBdr>
        <w:top w:val="none" w:sz="0" w:space="0" w:color="auto"/>
        <w:left w:val="none" w:sz="0" w:space="0" w:color="auto"/>
        <w:bottom w:val="none" w:sz="0" w:space="0" w:color="auto"/>
        <w:right w:val="none" w:sz="0" w:space="0" w:color="auto"/>
      </w:divBdr>
    </w:div>
    <w:div w:id="1937715025">
      <w:bodyDiv w:val="1"/>
      <w:marLeft w:val="0"/>
      <w:marRight w:val="0"/>
      <w:marTop w:val="0"/>
      <w:marBottom w:val="0"/>
      <w:divBdr>
        <w:top w:val="none" w:sz="0" w:space="0" w:color="auto"/>
        <w:left w:val="none" w:sz="0" w:space="0" w:color="auto"/>
        <w:bottom w:val="none" w:sz="0" w:space="0" w:color="auto"/>
        <w:right w:val="none" w:sz="0" w:space="0" w:color="auto"/>
      </w:divBdr>
    </w:div>
    <w:div w:id="1938440141">
      <w:bodyDiv w:val="1"/>
      <w:marLeft w:val="0"/>
      <w:marRight w:val="0"/>
      <w:marTop w:val="0"/>
      <w:marBottom w:val="0"/>
      <w:divBdr>
        <w:top w:val="none" w:sz="0" w:space="0" w:color="auto"/>
        <w:left w:val="none" w:sz="0" w:space="0" w:color="auto"/>
        <w:bottom w:val="none" w:sz="0" w:space="0" w:color="auto"/>
        <w:right w:val="none" w:sz="0" w:space="0" w:color="auto"/>
      </w:divBdr>
    </w:div>
    <w:div w:id="1942686928">
      <w:bodyDiv w:val="1"/>
      <w:marLeft w:val="0"/>
      <w:marRight w:val="0"/>
      <w:marTop w:val="0"/>
      <w:marBottom w:val="0"/>
      <w:divBdr>
        <w:top w:val="none" w:sz="0" w:space="0" w:color="auto"/>
        <w:left w:val="none" w:sz="0" w:space="0" w:color="auto"/>
        <w:bottom w:val="none" w:sz="0" w:space="0" w:color="auto"/>
        <w:right w:val="none" w:sz="0" w:space="0" w:color="auto"/>
      </w:divBdr>
    </w:div>
    <w:div w:id="1942687206">
      <w:bodyDiv w:val="1"/>
      <w:marLeft w:val="0"/>
      <w:marRight w:val="0"/>
      <w:marTop w:val="0"/>
      <w:marBottom w:val="0"/>
      <w:divBdr>
        <w:top w:val="none" w:sz="0" w:space="0" w:color="auto"/>
        <w:left w:val="none" w:sz="0" w:space="0" w:color="auto"/>
        <w:bottom w:val="none" w:sz="0" w:space="0" w:color="auto"/>
        <w:right w:val="none" w:sz="0" w:space="0" w:color="auto"/>
      </w:divBdr>
    </w:div>
    <w:div w:id="1960990800">
      <w:bodyDiv w:val="1"/>
      <w:marLeft w:val="0"/>
      <w:marRight w:val="0"/>
      <w:marTop w:val="0"/>
      <w:marBottom w:val="0"/>
      <w:divBdr>
        <w:top w:val="none" w:sz="0" w:space="0" w:color="auto"/>
        <w:left w:val="none" w:sz="0" w:space="0" w:color="auto"/>
        <w:bottom w:val="none" w:sz="0" w:space="0" w:color="auto"/>
        <w:right w:val="none" w:sz="0" w:space="0" w:color="auto"/>
      </w:divBdr>
    </w:div>
    <w:div w:id="1965115889">
      <w:bodyDiv w:val="1"/>
      <w:marLeft w:val="0"/>
      <w:marRight w:val="0"/>
      <w:marTop w:val="0"/>
      <w:marBottom w:val="0"/>
      <w:divBdr>
        <w:top w:val="none" w:sz="0" w:space="0" w:color="auto"/>
        <w:left w:val="none" w:sz="0" w:space="0" w:color="auto"/>
        <w:bottom w:val="none" w:sz="0" w:space="0" w:color="auto"/>
        <w:right w:val="none" w:sz="0" w:space="0" w:color="auto"/>
      </w:divBdr>
    </w:div>
    <w:div w:id="1987582012">
      <w:bodyDiv w:val="1"/>
      <w:marLeft w:val="0"/>
      <w:marRight w:val="0"/>
      <w:marTop w:val="0"/>
      <w:marBottom w:val="0"/>
      <w:divBdr>
        <w:top w:val="none" w:sz="0" w:space="0" w:color="auto"/>
        <w:left w:val="none" w:sz="0" w:space="0" w:color="auto"/>
        <w:bottom w:val="none" w:sz="0" w:space="0" w:color="auto"/>
        <w:right w:val="none" w:sz="0" w:space="0" w:color="auto"/>
      </w:divBdr>
    </w:div>
    <w:div w:id="1995791130">
      <w:bodyDiv w:val="1"/>
      <w:marLeft w:val="0"/>
      <w:marRight w:val="0"/>
      <w:marTop w:val="0"/>
      <w:marBottom w:val="0"/>
      <w:divBdr>
        <w:top w:val="none" w:sz="0" w:space="0" w:color="auto"/>
        <w:left w:val="none" w:sz="0" w:space="0" w:color="auto"/>
        <w:bottom w:val="none" w:sz="0" w:space="0" w:color="auto"/>
        <w:right w:val="none" w:sz="0" w:space="0" w:color="auto"/>
      </w:divBdr>
    </w:div>
    <w:div w:id="2022655543">
      <w:bodyDiv w:val="1"/>
      <w:marLeft w:val="0"/>
      <w:marRight w:val="0"/>
      <w:marTop w:val="0"/>
      <w:marBottom w:val="0"/>
      <w:divBdr>
        <w:top w:val="none" w:sz="0" w:space="0" w:color="auto"/>
        <w:left w:val="none" w:sz="0" w:space="0" w:color="auto"/>
        <w:bottom w:val="none" w:sz="0" w:space="0" w:color="auto"/>
        <w:right w:val="none" w:sz="0" w:space="0" w:color="auto"/>
      </w:divBdr>
    </w:div>
    <w:div w:id="2032144355">
      <w:bodyDiv w:val="1"/>
      <w:marLeft w:val="0"/>
      <w:marRight w:val="0"/>
      <w:marTop w:val="0"/>
      <w:marBottom w:val="0"/>
      <w:divBdr>
        <w:top w:val="none" w:sz="0" w:space="0" w:color="auto"/>
        <w:left w:val="none" w:sz="0" w:space="0" w:color="auto"/>
        <w:bottom w:val="none" w:sz="0" w:space="0" w:color="auto"/>
        <w:right w:val="none" w:sz="0" w:space="0" w:color="auto"/>
      </w:divBdr>
    </w:div>
    <w:div w:id="2085837763">
      <w:bodyDiv w:val="1"/>
      <w:marLeft w:val="0"/>
      <w:marRight w:val="0"/>
      <w:marTop w:val="0"/>
      <w:marBottom w:val="0"/>
      <w:divBdr>
        <w:top w:val="none" w:sz="0" w:space="0" w:color="auto"/>
        <w:left w:val="none" w:sz="0" w:space="0" w:color="auto"/>
        <w:bottom w:val="none" w:sz="0" w:space="0" w:color="auto"/>
        <w:right w:val="none" w:sz="0" w:space="0" w:color="auto"/>
      </w:divBdr>
    </w:div>
    <w:div w:id="2113814314">
      <w:bodyDiv w:val="1"/>
      <w:marLeft w:val="0"/>
      <w:marRight w:val="0"/>
      <w:marTop w:val="0"/>
      <w:marBottom w:val="0"/>
      <w:divBdr>
        <w:top w:val="none" w:sz="0" w:space="0" w:color="auto"/>
        <w:left w:val="none" w:sz="0" w:space="0" w:color="auto"/>
        <w:bottom w:val="none" w:sz="0" w:space="0" w:color="auto"/>
        <w:right w:val="none" w:sz="0" w:space="0" w:color="auto"/>
      </w:divBdr>
    </w:div>
    <w:div w:id="2121797715">
      <w:bodyDiv w:val="1"/>
      <w:marLeft w:val="0"/>
      <w:marRight w:val="0"/>
      <w:marTop w:val="0"/>
      <w:marBottom w:val="0"/>
      <w:divBdr>
        <w:top w:val="none" w:sz="0" w:space="0" w:color="auto"/>
        <w:left w:val="none" w:sz="0" w:space="0" w:color="auto"/>
        <w:bottom w:val="none" w:sz="0" w:space="0" w:color="auto"/>
        <w:right w:val="none" w:sz="0" w:space="0" w:color="auto"/>
      </w:divBdr>
      <w:divsChild>
        <w:div w:id="1832939701">
          <w:marLeft w:val="0"/>
          <w:marRight w:val="0"/>
          <w:marTop w:val="0"/>
          <w:marBottom w:val="0"/>
          <w:divBdr>
            <w:top w:val="none" w:sz="0" w:space="0" w:color="auto"/>
            <w:left w:val="none" w:sz="0" w:space="0" w:color="auto"/>
            <w:bottom w:val="none" w:sz="0" w:space="0" w:color="auto"/>
            <w:right w:val="none" w:sz="0" w:space="0" w:color="auto"/>
          </w:divBdr>
          <w:divsChild>
            <w:div w:id="2034530595">
              <w:marLeft w:val="0"/>
              <w:marRight w:val="0"/>
              <w:marTop w:val="0"/>
              <w:marBottom w:val="0"/>
              <w:divBdr>
                <w:top w:val="none" w:sz="0" w:space="0" w:color="auto"/>
                <w:left w:val="none" w:sz="0" w:space="0" w:color="auto"/>
                <w:bottom w:val="none" w:sz="0" w:space="0" w:color="auto"/>
                <w:right w:val="none" w:sz="0" w:space="0" w:color="auto"/>
              </w:divBdr>
              <w:divsChild>
                <w:div w:id="1176574480">
                  <w:marLeft w:val="0"/>
                  <w:marRight w:val="0"/>
                  <w:marTop w:val="0"/>
                  <w:marBottom w:val="0"/>
                  <w:divBdr>
                    <w:top w:val="none" w:sz="0" w:space="0" w:color="auto"/>
                    <w:left w:val="none" w:sz="0" w:space="0" w:color="auto"/>
                    <w:bottom w:val="none" w:sz="0" w:space="0" w:color="auto"/>
                    <w:right w:val="none" w:sz="0" w:space="0" w:color="auto"/>
                  </w:divBdr>
                  <w:divsChild>
                    <w:div w:id="70087283">
                      <w:marLeft w:val="0"/>
                      <w:marRight w:val="0"/>
                      <w:marTop w:val="0"/>
                      <w:marBottom w:val="0"/>
                      <w:divBdr>
                        <w:top w:val="none" w:sz="0" w:space="0" w:color="auto"/>
                        <w:left w:val="none" w:sz="0" w:space="0" w:color="auto"/>
                        <w:bottom w:val="none" w:sz="0" w:space="0" w:color="auto"/>
                        <w:right w:val="none" w:sz="0" w:space="0" w:color="auto"/>
                      </w:divBdr>
                      <w:divsChild>
                        <w:div w:id="1658486286">
                          <w:marLeft w:val="0"/>
                          <w:marRight w:val="0"/>
                          <w:marTop w:val="0"/>
                          <w:marBottom w:val="0"/>
                          <w:divBdr>
                            <w:top w:val="none" w:sz="0" w:space="0" w:color="auto"/>
                            <w:left w:val="none" w:sz="0" w:space="0" w:color="auto"/>
                            <w:bottom w:val="none" w:sz="0" w:space="0" w:color="auto"/>
                            <w:right w:val="none" w:sz="0" w:space="0" w:color="auto"/>
                          </w:divBdr>
                          <w:divsChild>
                            <w:div w:id="1405493363">
                              <w:marLeft w:val="0"/>
                              <w:marRight w:val="0"/>
                              <w:marTop w:val="0"/>
                              <w:marBottom w:val="0"/>
                              <w:divBdr>
                                <w:top w:val="none" w:sz="0" w:space="0" w:color="auto"/>
                                <w:left w:val="none" w:sz="0" w:space="0" w:color="auto"/>
                                <w:bottom w:val="none" w:sz="0" w:space="0" w:color="auto"/>
                                <w:right w:val="none" w:sz="0" w:space="0" w:color="auto"/>
                              </w:divBdr>
                              <w:divsChild>
                                <w:div w:id="1032463065">
                                  <w:marLeft w:val="0"/>
                                  <w:marRight w:val="0"/>
                                  <w:marTop w:val="0"/>
                                  <w:marBottom w:val="0"/>
                                  <w:divBdr>
                                    <w:top w:val="none" w:sz="0" w:space="0" w:color="auto"/>
                                    <w:left w:val="none" w:sz="0" w:space="0" w:color="auto"/>
                                    <w:bottom w:val="none" w:sz="0" w:space="0" w:color="auto"/>
                                    <w:right w:val="none" w:sz="0" w:space="0" w:color="auto"/>
                                  </w:divBdr>
                                </w:div>
                                <w:div w:id="16707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691328">
      <w:bodyDiv w:val="1"/>
      <w:marLeft w:val="0"/>
      <w:marRight w:val="0"/>
      <w:marTop w:val="0"/>
      <w:marBottom w:val="0"/>
      <w:divBdr>
        <w:top w:val="none" w:sz="0" w:space="0" w:color="auto"/>
        <w:left w:val="none" w:sz="0" w:space="0" w:color="auto"/>
        <w:bottom w:val="none" w:sz="0" w:space="0" w:color="auto"/>
        <w:right w:val="none" w:sz="0" w:space="0" w:color="auto"/>
      </w:divBdr>
    </w:div>
    <w:div w:id="2125801379">
      <w:bodyDiv w:val="1"/>
      <w:marLeft w:val="0"/>
      <w:marRight w:val="0"/>
      <w:marTop w:val="0"/>
      <w:marBottom w:val="0"/>
      <w:divBdr>
        <w:top w:val="none" w:sz="0" w:space="0" w:color="auto"/>
        <w:left w:val="none" w:sz="0" w:space="0" w:color="auto"/>
        <w:bottom w:val="none" w:sz="0" w:space="0" w:color="auto"/>
        <w:right w:val="none" w:sz="0" w:space="0" w:color="auto"/>
      </w:divBdr>
    </w:div>
    <w:div w:id="21302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Safety@stfc.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LSafety@stfc.ac.uk" TargetMode="External"/><Relationship Id="rId4" Type="http://schemas.openxmlformats.org/officeDocument/2006/relationships/settings" Target="settings.xml"/><Relationship Id="rId9" Type="http://schemas.openxmlformats.org/officeDocument/2006/relationships/image" Target="cid:image003.png@01D678B9.8E06EDF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2619-DEF1-4C79-BFF0-FEA6CE82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1968</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DEPARTMENTAL SAFETY COMMITTEE</vt:lpstr>
    </vt:vector>
  </TitlesOfParts>
  <Company>CCLRC</Company>
  <LinksUpToDate>false</LinksUpToDate>
  <CharactersWithSpaces>12431</CharactersWithSpaces>
  <SharedDoc>false</SharedDoc>
  <HLinks>
    <vt:vector size="54" baseType="variant">
      <vt:variant>
        <vt:i4>3997822</vt:i4>
      </vt:variant>
      <vt:variant>
        <vt:i4>24</vt:i4>
      </vt:variant>
      <vt:variant>
        <vt:i4>0</vt:i4>
      </vt:variant>
      <vt:variant>
        <vt:i4>5</vt:i4>
      </vt:variant>
      <vt:variant>
        <vt:lpwstr>http://www.hse.gov.uk/riddor/guidance.htm</vt:lpwstr>
      </vt:variant>
      <vt:variant>
        <vt:lpwstr>reportable</vt:lpwstr>
      </vt:variant>
      <vt:variant>
        <vt:i4>720932</vt:i4>
      </vt:variant>
      <vt:variant>
        <vt:i4>21</vt:i4>
      </vt:variant>
      <vt:variant>
        <vt:i4>0</vt:i4>
      </vt:variant>
      <vt:variant>
        <vt:i4>5</vt:i4>
      </vt:variant>
      <vt:variant>
        <vt:lpwstr>http://www.she.stfc.ac.uk/Safety/Safety_Notices/STFC/SN72 Lifting Code.aspx</vt:lpwstr>
      </vt:variant>
      <vt:variant>
        <vt:lpwstr/>
      </vt:variant>
      <vt:variant>
        <vt:i4>7340042</vt:i4>
      </vt:variant>
      <vt:variant>
        <vt:i4>18</vt:i4>
      </vt:variant>
      <vt:variant>
        <vt:i4>0</vt:i4>
      </vt:variant>
      <vt:variant>
        <vt:i4>5</vt:i4>
      </vt:variant>
      <vt:variant>
        <vt:lpwstr>http://www.she.stfc.ac.uk/Codes/STFC/SC26 Lifting/SC26_Lifting.aspx</vt:lpwstr>
      </vt:variant>
      <vt:variant>
        <vt:lpwstr/>
      </vt:variant>
      <vt:variant>
        <vt:i4>720932</vt:i4>
      </vt:variant>
      <vt:variant>
        <vt:i4>15</vt:i4>
      </vt:variant>
      <vt:variant>
        <vt:i4>0</vt:i4>
      </vt:variant>
      <vt:variant>
        <vt:i4>5</vt:i4>
      </vt:variant>
      <vt:variant>
        <vt:lpwstr>http://www.she.stfc.ac.uk/Safety/Safety_Notices/STFC/SN72 Lifting Code.aspx</vt:lpwstr>
      </vt:variant>
      <vt:variant>
        <vt:lpwstr/>
      </vt:variant>
      <vt:variant>
        <vt:i4>7143453</vt:i4>
      </vt:variant>
      <vt:variant>
        <vt:i4>12</vt:i4>
      </vt:variant>
      <vt:variant>
        <vt:i4>0</vt:i4>
      </vt:variant>
      <vt:variant>
        <vt:i4>5</vt:i4>
      </vt:variant>
      <vt:variant>
        <vt:lpwstr>http://www.she.stfc.ac.uk/Safety/Safety_Notices/STFC/SN76 Faulty Power Supplies.aspx</vt:lpwstr>
      </vt:variant>
      <vt:variant>
        <vt:lpwstr/>
      </vt:variant>
      <vt:variant>
        <vt:i4>8061019</vt:i4>
      </vt:variant>
      <vt:variant>
        <vt:i4>9</vt:i4>
      </vt:variant>
      <vt:variant>
        <vt:i4>0</vt:i4>
      </vt:variant>
      <vt:variant>
        <vt:i4>5</vt:i4>
      </vt:variant>
      <vt:variant>
        <vt:lpwstr>http://www.she.stfc.ac.uk/Safety/Safety_Notices/STFC/SN75 Culture Survey.aspx</vt:lpwstr>
      </vt:variant>
      <vt:variant>
        <vt:lpwstr/>
      </vt:variant>
      <vt:variant>
        <vt:i4>7340127</vt:i4>
      </vt:variant>
      <vt:variant>
        <vt:i4>6</vt:i4>
      </vt:variant>
      <vt:variant>
        <vt:i4>0</vt:i4>
      </vt:variant>
      <vt:variant>
        <vt:i4>5</vt:i4>
      </vt:variant>
      <vt:variant>
        <vt:lpwstr>http://www.she.stfc.ac.uk/Safety/Safety_Notices/STFC/SN73 Asbestos Code.aspx</vt:lpwstr>
      </vt:variant>
      <vt:variant>
        <vt:lpwstr/>
      </vt:variant>
      <vt:variant>
        <vt:i4>720932</vt:i4>
      </vt:variant>
      <vt:variant>
        <vt:i4>3</vt:i4>
      </vt:variant>
      <vt:variant>
        <vt:i4>0</vt:i4>
      </vt:variant>
      <vt:variant>
        <vt:i4>5</vt:i4>
      </vt:variant>
      <vt:variant>
        <vt:lpwstr>http://www.she.stfc.ac.uk/Safety/Safety_Notices/STFC/SN72 Lifting Code.aspx</vt:lpwstr>
      </vt:variant>
      <vt:variant>
        <vt:lpwstr/>
      </vt:variant>
      <vt:variant>
        <vt:i4>7340042</vt:i4>
      </vt:variant>
      <vt:variant>
        <vt:i4>0</vt:i4>
      </vt:variant>
      <vt:variant>
        <vt:i4>0</vt:i4>
      </vt:variant>
      <vt:variant>
        <vt:i4>5</vt:i4>
      </vt:variant>
      <vt:variant>
        <vt:lpwstr>http://www.she.stfc.ac.uk/Codes/STFC/SC26 Lifting/SC26_Lifting.aspx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SAFETY COMMITTEE</dc:title>
  <dc:subject/>
  <dc:creator>Roberts, Mark (STFC,DL,CSD)</dc:creator>
  <cp:keywords/>
  <dc:description/>
  <cp:lastModifiedBy>Harris, Garth (STFC,RAL,COO)</cp:lastModifiedBy>
  <cp:revision>2</cp:revision>
  <cp:lastPrinted>2017-12-18T16:37:00Z</cp:lastPrinted>
  <dcterms:created xsi:type="dcterms:W3CDTF">2020-11-06T08:24:00Z</dcterms:created>
  <dcterms:modified xsi:type="dcterms:W3CDTF">2020-11-06T08:24:00Z</dcterms:modified>
</cp:coreProperties>
</file>